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59"/>
      </w:tblGrid>
      <w:tr w:rsidR="00E45179" w:rsidRPr="0036238B" w:rsidTr="007109D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D2" w:rsidRPr="00787D02" w:rsidRDefault="007109D2" w:rsidP="0053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31.XII.2019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CE385E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Ignacio José Cubillo López</w:t>
            </w:r>
          </w:p>
        </w:tc>
      </w:tr>
      <w:tr w:rsidR="00111777" w:rsidRPr="0036238B" w:rsidTr="00C21E93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hyperlink r:id="rId7" w:history="1">
              <w:r w:rsidR="00CE385E" w:rsidRPr="002438D7">
                <w:rPr>
                  <w:rStyle w:val="Hipervnculo"/>
                  <w:rFonts w:ascii="Arial" w:eastAsia="Times New Roman" w:hAnsi="Arial" w:cs="Arial"/>
                  <w:lang w:eastAsia="es-ES"/>
                </w:rPr>
                <w:t>http://orcid.org/0000-0001-8901-2558</w:t>
              </w:r>
            </w:hyperlink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CE385E" w:rsidP="00CE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de Córdoba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CE385E" w:rsidP="00CE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Departamento de Derecho Civil, Penal y Procesal/ Facultad de Derecho y CCEE y Empresariales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CE385E" w:rsidP="00CE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Calle Puerta Nueva s/n, 14002 Córdoba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C2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9C570A" w:rsidRDefault="00CE385E" w:rsidP="002223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ES"/>
              </w:rPr>
            </w:pPr>
            <w:r w:rsidRPr="009C570A">
              <w:rPr>
                <w:rFonts w:ascii="Arial" w:eastAsia="Times New Roman" w:hAnsi="Arial" w:cs="Arial"/>
                <w:color w:val="0000FF"/>
                <w:u w:val="single"/>
                <w:lang w:eastAsia="es-ES"/>
              </w:rPr>
              <w:t>dc1cubli@uco.es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CE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CE385E">
              <w:rPr>
                <w:rFonts w:ascii="Arial" w:eastAsia="Times New Roman" w:hAnsi="Arial" w:cs="Arial"/>
                <w:color w:val="000000"/>
                <w:lang w:eastAsia="es-ES"/>
              </w:rPr>
              <w:t>Profesor Titular de Universidad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CE385E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1.II.2008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490297" w:rsidP="00CE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560401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CE385E" w:rsidP="00CE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Derecho Procesal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E385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Licenciado en Derecho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E385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E385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1995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E385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Doctor en Derecho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E385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E385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1998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E385E" w:rsidRPr="002438D7" w:rsidRDefault="00CE385E" w:rsidP="00CE385E">
      <w:pPr>
        <w:spacing w:after="80" w:line="240" w:lineRule="auto"/>
        <w:jc w:val="both"/>
        <w:rPr>
          <w:rFonts w:ascii="Arial" w:hAnsi="Arial" w:cs="Arial"/>
          <w:lang w:val="es-ES_tradnl"/>
        </w:rPr>
      </w:pPr>
      <w:r w:rsidRPr="002438D7">
        <w:rPr>
          <w:rFonts w:ascii="Arial" w:hAnsi="Arial" w:cs="Arial"/>
          <w:lang w:val="es-ES_tradnl"/>
        </w:rPr>
        <w:t xml:space="preserve">Valoración positiva del CNEAI en la evaluación de la actividad investigadora de los </w:t>
      </w:r>
      <w:r w:rsidR="00BA5FA1">
        <w:rPr>
          <w:rFonts w:ascii="Arial" w:hAnsi="Arial" w:cs="Arial"/>
          <w:lang w:val="es-ES_tradnl"/>
        </w:rPr>
        <w:t xml:space="preserve">tres </w:t>
      </w:r>
      <w:r w:rsidRPr="002438D7">
        <w:rPr>
          <w:rFonts w:ascii="Arial" w:hAnsi="Arial" w:cs="Arial"/>
          <w:lang w:val="es-ES_tradnl"/>
        </w:rPr>
        <w:t xml:space="preserve">sexenios </w:t>
      </w:r>
      <w:r w:rsidR="00BA5FA1">
        <w:rPr>
          <w:rFonts w:ascii="Arial" w:hAnsi="Arial" w:cs="Arial"/>
          <w:lang w:val="es-ES_tradnl"/>
        </w:rPr>
        <w:t xml:space="preserve">siguientes: </w:t>
      </w:r>
      <w:r w:rsidRPr="002438D7">
        <w:rPr>
          <w:rFonts w:ascii="Arial" w:hAnsi="Arial" w:cs="Arial"/>
          <w:lang w:val="es-ES_tradnl"/>
        </w:rPr>
        <w:t>1999-2004</w:t>
      </w:r>
      <w:r>
        <w:rPr>
          <w:rFonts w:ascii="Arial" w:hAnsi="Arial" w:cs="Arial"/>
          <w:lang w:val="es-ES_tradnl"/>
        </w:rPr>
        <w:t xml:space="preserve">, </w:t>
      </w:r>
      <w:r w:rsidRPr="002438D7">
        <w:rPr>
          <w:rFonts w:ascii="Arial" w:hAnsi="Arial" w:cs="Arial"/>
          <w:lang w:val="es-ES_tradnl"/>
        </w:rPr>
        <w:t>2005-2010</w:t>
      </w:r>
      <w:r>
        <w:rPr>
          <w:rFonts w:ascii="Arial" w:hAnsi="Arial" w:cs="Arial"/>
          <w:lang w:val="es-ES_tradnl"/>
        </w:rPr>
        <w:t xml:space="preserve"> y </w:t>
      </w:r>
      <w:r w:rsidRPr="002438D7">
        <w:rPr>
          <w:rFonts w:ascii="Arial" w:hAnsi="Arial" w:cs="Arial"/>
          <w:lang w:val="es-ES_tradnl"/>
        </w:rPr>
        <w:t>2011-2017.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Default="006B2155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AB3412" w:rsidRDefault="00CE385E" w:rsidP="00CE385E">
      <w:pPr>
        <w:spacing w:after="80" w:line="240" w:lineRule="auto"/>
        <w:jc w:val="both"/>
        <w:rPr>
          <w:rFonts w:ascii="Arial" w:hAnsi="Arial" w:cs="Arial"/>
          <w:lang w:val="es-ES_tradnl"/>
        </w:rPr>
      </w:pPr>
      <w:r w:rsidRPr="002438D7">
        <w:rPr>
          <w:rFonts w:ascii="Arial" w:hAnsi="Arial" w:cs="Arial"/>
          <w:lang w:val="es-ES_tradnl"/>
        </w:rPr>
        <w:t>Doctor en Derecho por la Universidad Complutense de Madrid desde 1998. Profesor Titular de Derecho Procesal desde 2008</w:t>
      </w:r>
      <w:r w:rsidR="00AB3412">
        <w:rPr>
          <w:rFonts w:ascii="Arial" w:hAnsi="Arial" w:cs="Arial"/>
          <w:lang w:val="es-ES_tradnl"/>
        </w:rPr>
        <w:t xml:space="preserve">, en la </w:t>
      </w:r>
      <w:r w:rsidRPr="002438D7">
        <w:rPr>
          <w:rFonts w:ascii="Arial" w:hAnsi="Arial" w:cs="Arial"/>
          <w:lang w:val="es-ES_tradnl"/>
        </w:rPr>
        <w:t>Universidad de Córdoba</w:t>
      </w:r>
      <w:r w:rsidR="00AB3412">
        <w:rPr>
          <w:rFonts w:ascii="Arial" w:hAnsi="Arial" w:cs="Arial"/>
          <w:lang w:val="es-ES_tradnl"/>
        </w:rPr>
        <w:t xml:space="preserve"> (2008-2009), en la Universidad Complutense (2009-2016) y de nuevo en la </w:t>
      </w:r>
      <w:r w:rsidRPr="002438D7">
        <w:rPr>
          <w:rFonts w:ascii="Arial" w:hAnsi="Arial" w:cs="Arial"/>
          <w:lang w:val="es-ES_tradnl"/>
        </w:rPr>
        <w:t xml:space="preserve">Universidad </w:t>
      </w:r>
      <w:r w:rsidR="00AB3412">
        <w:rPr>
          <w:rFonts w:ascii="Arial" w:hAnsi="Arial" w:cs="Arial"/>
          <w:lang w:val="es-ES_tradnl"/>
        </w:rPr>
        <w:t>de Córdoba (2016-</w:t>
      </w:r>
      <w:r w:rsidR="005737A8">
        <w:rPr>
          <w:rFonts w:ascii="Arial" w:hAnsi="Arial" w:cs="Arial"/>
          <w:lang w:val="es-ES_tradnl"/>
        </w:rPr>
        <w:t>hoy</w:t>
      </w:r>
      <w:r w:rsidR="00AB3412">
        <w:rPr>
          <w:rFonts w:ascii="Arial" w:hAnsi="Arial" w:cs="Arial"/>
          <w:lang w:val="es-ES_tradnl"/>
        </w:rPr>
        <w:t>)</w:t>
      </w:r>
      <w:r w:rsidR="005737A8">
        <w:rPr>
          <w:rFonts w:ascii="Arial" w:hAnsi="Arial" w:cs="Arial"/>
          <w:lang w:val="es-ES_tradnl"/>
        </w:rPr>
        <w:t xml:space="preserve">. </w:t>
      </w:r>
      <w:r w:rsidRPr="002438D7">
        <w:rPr>
          <w:rFonts w:ascii="Arial" w:hAnsi="Arial" w:cs="Arial"/>
          <w:lang w:val="es-ES_tradnl"/>
        </w:rPr>
        <w:t xml:space="preserve">Ha impartido las diversas asignaturas de Derecho Procesal tanto de la antigua Licenciatura </w:t>
      </w:r>
      <w:r>
        <w:rPr>
          <w:rFonts w:ascii="Arial" w:hAnsi="Arial" w:cs="Arial"/>
          <w:lang w:val="es-ES_tradnl"/>
        </w:rPr>
        <w:t xml:space="preserve">como del actual Grado en Derecho. Ha sido </w:t>
      </w:r>
      <w:r w:rsidR="00AB3412">
        <w:rPr>
          <w:rFonts w:ascii="Arial" w:hAnsi="Arial" w:cs="Arial"/>
          <w:lang w:val="es-ES_tradnl"/>
        </w:rPr>
        <w:t>p</w:t>
      </w:r>
      <w:r>
        <w:rPr>
          <w:rFonts w:ascii="Arial" w:hAnsi="Arial" w:cs="Arial"/>
          <w:lang w:val="es-ES_tradnl"/>
        </w:rPr>
        <w:t xml:space="preserve">rofesor y ha ejercido funciones de coordinación en el Máster en Derecho Público y en el </w:t>
      </w:r>
      <w:r w:rsidRPr="002438D7">
        <w:rPr>
          <w:rFonts w:ascii="Arial" w:hAnsi="Arial" w:cs="Arial"/>
          <w:lang w:val="es-ES_tradnl"/>
        </w:rPr>
        <w:t>Máster de Acceso a la Abogacía</w:t>
      </w:r>
      <w:r>
        <w:rPr>
          <w:rFonts w:ascii="Arial" w:hAnsi="Arial" w:cs="Arial"/>
          <w:lang w:val="es-ES_tradnl"/>
        </w:rPr>
        <w:t xml:space="preserve"> de </w:t>
      </w:r>
      <w:r w:rsidRPr="002438D7">
        <w:rPr>
          <w:rFonts w:ascii="Arial" w:hAnsi="Arial" w:cs="Arial"/>
          <w:lang w:val="es-ES_tradnl"/>
        </w:rPr>
        <w:t xml:space="preserve">la </w:t>
      </w:r>
      <w:r w:rsidR="009009FA">
        <w:rPr>
          <w:rFonts w:ascii="Arial" w:hAnsi="Arial" w:cs="Arial"/>
          <w:lang w:val="es-ES_tradnl"/>
        </w:rPr>
        <w:t xml:space="preserve">UCM, y en la actualidad es </w:t>
      </w:r>
      <w:r w:rsidR="00AB3412">
        <w:rPr>
          <w:rFonts w:ascii="Arial" w:hAnsi="Arial" w:cs="Arial"/>
          <w:lang w:val="es-ES_tradnl"/>
        </w:rPr>
        <w:t>p</w:t>
      </w:r>
      <w:r w:rsidR="009009FA">
        <w:rPr>
          <w:rFonts w:ascii="Arial" w:hAnsi="Arial" w:cs="Arial"/>
          <w:lang w:val="es-ES_tradnl"/>
        </w:rPr>
        <w:t xml:space="preserve">rofesor y </w:t>
      </w:r>
      <w:r w:rsidR="00AB3412">
        <w:rPr>
          <w:rFonts w:ascii="Arial" w:hAnsi="Arial" w:cs="Arial"/>
          <w:lang w:val="es-ES_tradnl"/>
        </w:rPr>
        <w:t>presidente</w:t>
      </w:r>
      <w:r w:rsidR="009009FA">
        <w:rPr>
          <w:rFonts w:ascii="Arial" w:hAnsi="Arial" w:cs="Arial"/>
          <w:lang w:val="es-ES_tradnl"/>
        </w:rPr>
        <w:t xml:space="preserve"> de la Unidad de Garantía de la Calidad del Máster en Asesoría Jurídica de Empresas de la UCO</w:t>
      </w:r>
      <w:r w:rsidRPr="002438D7">
        <w:rPr>
          <w:rFonts w:ascii="Arial" w:hAnsi="Arial" w:cs="Arial"/>
          <w:lang w:val="es-ES_tradnl"/>
        </w:rPr>
        <w:t>.</w:t>
      </w:r>
      <w:r w:rsidR="00AB341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También ha dado clases en el Centro </w:t>
      </w:r>
      <w:r w:rsidRPr="002438D7">
        <w:rPr>
          <w:rFonts w:ascii="Arial" w:hAnsi="Arial" w:cs="Arial"/>
          <w:lang w:val="es-ES_tradnl"/>
        </w:rPr>
        <w:t>de Estudios Jurídicos de la Administración de Justicia y en la Escuela de Práctica Jurídica de</w:t>
      </w:r>
      <w:r w:rsidR="00AB3412">
        <w:rPr>
          <w:rFonts w:ascii="Arial" w:hAnsi="Arial" w:cs="Arial"/>
          <w:lang w:val="es-ES_tradnl"/>
        </w:rPr>
        <w:t xml:space="preserve"> la UCM</w:t>
      </w:r>
      <w:r w:rsidRPr="002438D7">
        <w:rPr>
          <w:rFonts w:ascii="Arial" w:hAnsi="Arial" w:cs="Arial"/>
          <w:lang w:val="es-ES_tradnl"/>
        </w:rPr>
        <w:t>.</w:t>
      </w:r>
    </w:p>
    <w:p w:rsidR="00CE385E" w:rsidRPr="002438D7" w:rsidRDefault="00CE385E" w:rsidP="00CE385E">
      <w:pPr>
        <w:spacing w:after="80" w:line="240" w:lineRule="auto"/>
        <w:jc w:val="both"/>
        <w:rPr>
          <w:rFonts w:ascii="Arial" w:hAnsi="Arial" w:cs="Arial"/>
          <w:lang w:val="es-ES_tradnl"/>
        </w:rPr>
      </w:pPr>
      <w:r w:rsidRPr="002438D7">
        <w:rPr>
          <w:rFonts w:ascii="Arial" w:hAnsi="Arial" w:cs="Arial"/>
          <w:lang w:val="es-ES_tradnl"/>
        </w:rPr>
        <w:t xml:space="preserve">En cuanto a su labor investigadora, tiene reconocidos </w:t>
      </w:r>
      <w:r>
        <w:rPr>
          <w:rFonts w:ascii="Arial" w:hAnsi="Arial" w:cs="Arial"/>
          <w:lang w:val="es-ES_tradnl"/>
        </w:rPr>
        <w:t xml:space="preserve">tres </w:t>
      </w:r>
      <w:r w:rsidRPr="002438D7">
        <w:rPr>
          <w:rFonts w:ascii="Arial" w:hAnsi="Arial" w:cs="Arial"/>
          <w:lang w:val="es-ES_tradnl"/>
        </w:rPr>
        <w:t>sexenios de investigación</w:t>
      </w:r>
      <w:r>
        <w:rPr>
          <w:rFonts w:ascii="Arial" w:hAnsi="Arial" w:cs="Arial"/>
          <w:lang w:val="es-ES_tradnl"/>
        </w:rPr>
        <w:t>. H</w:t>
      </w:r>
      <w:r w:rsidRPr="002438D7">
        <w:rPr>
          <w:rFonts w:ascii="Arial" w:hAnsi="Arial" w:cs="Arial"/>
          <w:lang w:val="es-ES_tradnl"/>
        </w:rPr>
        <w:t>a participado en d</w:t>
      </w:r>
      <w:r w:rsidR="00AB3412">
        <w:rPr>
          <w:rFonts w:ascii="Arial" w:hAnsi="Arial" w:cs="Arial"/>
          <w:lang w:val="es-ES_tradnl"/>
        </w:rPr>
        <w:t xml:space="preserve">oce </w:t>
      </w:r>
      <w:r w:rsidRPr="002438D7">
        <w:rPr>
          <w:rFonts w:ascii="Arial" w:hAnsi="Arial" w:cs="Arial"/>
          <w:lang w:val="es-ES_tradnl"/>
        </w:rPr>
        <w:t>proyectos de investigación competitivos, desde 1997 hasta la actualidad, relativos al Derecho Procesal Civil, al Derecho Procesal Penal y al Derecho Procesal Europeo, siendo investigador principal de uno de ellos sobre la tutela de los consumidores</w:t>
      </w:r>
      <w:r>
        <w:rPr>
          <w:rFonts w:ascii="Arial" w:hAnsi="Arial" w:cs="Arial"/>
          <w:lang w:val="es-ES_tradnl"/>
        </w:rPr>
        <w:t>. H</w:t>
      </w:r>
      <w:r w:rsidRPr="002438D7">
        <w:rPr>
          <w:rFonts w:ascii="Arial" w:hAnsi="Arial" w:cs="Arial"/>
          <w:lang w:val="es-ES_tradnl"/>
        </w:rPr>
        <w:t xml:space="preserve">a realizado estancias de investigación en varios centros extranjeros, como la </w:t>
      </w:r>
      <w:proofErr w:type="spellStart"/>
      <w:r w:rsidRPr="002438D7">
        <w:rPr>
          <w:rFonts w:ascii="Arial" w:hAnsi="Arial" w:cs="Arial"/>
          <w:i/>
          <w:lang w:val="es-ES_tradnl"/>
        </w:rPr>
        <w:t>School</w:t>
      </w:r>
      <w:proofErr w:type="spellEnd"/>
      <w:r w:rsidRPr="002438D7">
        <w:rPr>
          <w:rFonts w:ascii="Arial" w:hAnsi="Arial" w:cs="Arial"/>
          <w:i/>
          <w:lang w:val="es-ES_tradnl"/>
        </w:rPr>
        <w:t xml:space="preserve"> of </w:t>
      </w:r>
      <w:proofErr w:type="spellStart"/>
      <w:r w:rsidRPr="002438D7">
        <w:rPr>
          <w:rFonts w:ascii="Arial" w:hAnsi="Arial" w:cs="Arial"/>
          <w:i/>
          <w:lang w:val="es-ES_tradnl"/>
        </w:rPr>
        <w:t>Law</w:t>
      </w:r>
      <w:proofErr w:type="spellEnd"/>
      <w:r w:rsidRPr="002438D7">
        <w:rPr>
          <w:rFonts w:ascii="Arial" w:hAnsi="Arial" w:cs="Arial"/>
          <w:lang w:val="es-ES_tradnl"/>
        </w:rPr>
        <w:t xml:space="preserve"> de la Universidad de Glasgow; el </w:t>
      </w:r>
      <w:proofErr w:type="spellStart"/>
      <w:r w:rsidRPr="002438D7">
        <w:rPr>
          <w:rFonts w:ascii="Arial" w:hAnsi="Arial" w:cs="Arial"/>
          <w:i/>
          <w:lang w:val="es-ES_tradnl"/>
        </w:rPr>
        <w:t>Intitute</w:t>
      </w:r>
      <w:proofErr w:type="spellEnd"/>
      <w:r w:rsidRPr="002438D7">
        <w:rPr>
          <w:rFonts w:ascii="Arial" w:hAnsi="Arial" w:cs="Arial"/>
          <w:i/>
          <w:lang w:val="es-ES_tradnl"/>
        </w:rPr>
        <w:t xml:space="preserve"> of </w:t>
      </w:r>
      <w:proofErr w:type="spellStart"/>
      <w:r w:rsidRPr="002438D7">
        <w:rPr>
          <w:rFonts w:ascii="Arial" w:hAnsi="Arial" w:cs="Arial"/>
          <w:i/>
          <w:lang w:val="es-ES_tradnl"/>
        </w:rPr>
        <w:t>Advanced</w:t>
      </w:r>
      <w:proofErr w:type="spellEnd"/>
      <w:r w:rsidRPr="002438D7">
        <w:rPr>
          <w:rFonts w:ascii="Arial" w:hAnsi="Arial" w:cs="Arial"/>
          <w:i/>
          <w:lang w:val="es-ES_tradnl"/>
        </w:rPr>
        <w:t xml:space="preserve"> Legal </w:t>
      </w:r>
      <w:proofErr w:type="spellStart"/>
      <w:r w:rsidRPr="002438D7">
        <w:rPr>
          <w:rFonts w:ascii="Arial" w:hAnsi="Arial" w:cs="Arial"/>
          <w:i/>
          <w:lang w:val="es-ES_tradnl"/>
        </w:rPr>
        <w:t>Studies</w:t>
      </w:r>
      <w:proofErr w:type="spellEnd"/>
      <w:r w:rsidRPr="002438D7">
        <w:rPr>
          <w:rFonts w:ascii="Arial" w:hAnsi="Arial" w:cs="Arial"/>
          <w:lang w:val="es-ES_tradnl"/>
        </w:rPr>
        <w:t xml:space="preserve"> de la Universidad de Londres; y el </w:t>
      </w:r>
      <w:proofErr w:type="spellStart"/>
      <w:r w:rsidRPr="002438D7">
        <w:rPr>
          <w:rFonts w:ascii="Arial" w:hAnsi="Arial" w:cs="Arial"/>
          <w:i/>
          <w:lang w:val="es-ES_tradnl"/>
        </w:rPr>
        <w:t>Straus</w:t>
      </w:r>
      <w:proofErr w:type="spellEnd"/>
      <w:r w:rsidRPr="002438D7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2438D7">
        <w:rPr>
          <w:rFonts w:ascii="Arial" w:hAnsi="Arial" w:cs="Arial"/>
          <w:i/>
          <w:lang w:val="es-ES_tradnl"/>
        </w:rPr>
        <w:t>Institute</w:t>
      </w:r>
      <w:proofErr w:type="spellEnd"/>
      <w:r w:rsidRPr="002438D7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2438D7">
        <w:rPr>
          <w:rFonts w:ascii="Arial" w:hAnsi="Arial" w:cs="Arial"/>
          <w:i/>
          <w:lang w:val="es-ES_tradnl"/>
        </w:rPr>
        <w:t>for</w:t>
      </w:r>
      <w:proofErr w:type="spellEnd"/>
      <w:r w:rsidRPr="002438D7">
        <w:rPr>
          <w:rFonts w:ascii="Arial" w:hAnsi="Arial" w:cs="Arial"/>
          <w:i/>
          <w:lang w:val="es-ES_tradnl"/>
        </w:rPr>
        <w:t xml:space="preserve"> Dispute </w:t>
      </w:r>
      <w:proofErr w:type="spellStart"/>
      <w:r w:rsidRPr="002438D7">
        <w:rPr>
          <w:rFonts w:ascii="Arial" w:hAnsi="Arial" w:cs="Arial"/>
          <w:i/>
          <w:lang w:val="es-ES_tradnl"/>
        </w:rPr>
        <w:t>Resolution</w:t>
      </w:r>
      <w:proofErr w:type="spellEnd"/>
      <w:r w:rsidRPr="002438D7">
        <w:rPr>
          <w:rFonts w:ascii="Arial" w:hAnsi="Arial" w:cs="Arial"/>
          <w:lang w:val="es-ES_tradnl"/>
        </w:rPr>
        <w:t xml:space="preserve">, de la Universidad de </w:t>
      </w:r>
      <w:proofErr w:type="spellStart"/>
      <w:r w:rsidRPr="002438D7">
        <w:rPr>
          <w:rFonts w:ascii="Arial" w:hAnsi="Arial" w:cs="Arial"/>
          <w:lang w:val="es-ES_tradnl"/>
        </w:rPr>
        <w:t>Pepperdine</w:t>
      </w:r>
      <w:proofErr w:type="spellEnd"/>
      <w:r w:rsidRPr="002438D7">
        <w:rPr>
          <w:rFonts w:ascii="Arial" w:hAnsi="Arial" w:cs="Arial"/>
          <w:lang w:val="es-ES_tradnl"/>
        </w:rPr>
        <w:t xml:space="preserve"> (California).</w:t>
      </w:r>
    </w:p>
    <w:p w:rsidR="00CE385E" w:rsidRPr="002438D7" w:rsidRDefault="00CE385E" w:rsidP="00CE385E">
      <w:pPr>
        <w:spacing w:after="80" w:line="240" w:lineRule="auto"/>
        <w:jc w:val="both"/>
        <w:rPr>
          <w:rFonts w:ascii="Arial" w:hAnsi="Arial" w:cs="Arial"/>
          <w:lang w:val="es-ES_tradnl"/>
        </w:rPr>
      </w:pPr>
      <w:r w:rsidRPr="002438D7">
        <w:rPr>
          <w:rFonts w:ascii="Arial" w:hAnsi="Arial" w:cs="Arial"/>
          <w:lang w:val="es-ES_tradnl"/>
        </w:rPr>
        <w:t xml:space="preserve">Es autor de varias monografías, entre las que destacan: </w:t>
      </w:r>
      <w:r w:rsidRPr="002438D7">
        <w:rPr>
          <w:rFonts w:ascii="Arial" w:hAnsi="Arial" w:cs="Arial"/>
          <w:i/>
          <w:lang w:val="es-ES_tradnl"/>
        </w:rPr>
        <w:t xml:space="preserve">La comunicación procesal en la nueva Ley de Enjuiciamiento Civil </w:t>
      </w:r>
      <w:r w:rsidRPr="002438D7">
        <w:rPr>
          <w:rFonts w:ascii="Arial" w:hAnsi="Arial" w:cs="Arial"/>
          <w:lang w:val="es-ES_tradnl"/>
        </w:rPr>
        <w:t xml:space="preserve">(2001), </w:t>
      </w:r>
      <w:r w:rsidRPr="002438D7">
        <w:rPr>
          <w:rFonts w:ascii="Arial" w:hAnsi="Arial" w:cs="Arial"/>
          <w:i/>
          <w:lang w:val="es-ES_tradnl"/>
        </w:rPr>
        <w:t>La regulación de las actuaciones del juicio</w:t>
      </w:r>
      <w:r w:rsidRPr="002438D7">
        <w:rPr>
          <w:rFonts w:ascii="Arial" w:hAnsi="Arial" w:cs="Arial"/>
          <w:lang w:val="es-ES_tradnl"/>
        </w:rPr>
        <w:t xml:space="preserve"> (2001), </w:t>
      </w:r>
      <w:r w:rsidRPr="002438D7">
        <w:rPr>
          <w:rFonts w:ascii="Arial" w:hAnsi="Arial" w:cs="Arial"/>
          <w:i/>
          <w:iCs/>
          <w:lang w:val="es-ES_tradnl"/>
        </w:rPr>
        <w:t>La competencia de los tribunales en el ámbito penal</w:t>
      </w:r>
      <w:r w:rsidRPr="002438D7">
        <w:rPr>
          <w:rFonts w:ascii="Arial" w:hAnsi="Arial" w:cs="Arial"/>
          <w:lang w:val="es-ES_tradnl"/>
        </w:rPr>
        <w:t xml:space="preserve"> (con Aragoneses Martínez, 2004), </w:t>
      </w:r>
      <w:r w:rsidRPr="002438D7">
        <w:rPr>
          <w:rFonts w:ascii="Arial" w:hAnsi="Arial" w:cs="Arial"/>
          <w:i/>
          <w:lang w:val="es-ES_tradnl"/>
        </w:rPr>
        <w:t>La protección de testigos en el proceso penal</w:t>
      </w:r>
      <w:r w:rsidRPr="002438D7">
        <w:rPr>
          <w:rFonts w:ascii="Arial" w:hAnsi="Arial" w:cs="Arial"/>
          <w:iCs/>
          <w:lang w:val="es-ES_tradnl"/>
        </w:rPr>
        <w:t xml:space="preserve"> (2009), </w:t>
      </w:r>
      <w:r w:rsidRPr="002438D7">
        <w:rPr>
          <w:rFonts w:ascii="Arial" w:hAnsi="Arial" w:cs="Arial"/>
          <w:i/>
          <w:lang w:val="es-ES_tradnl"/>
        </w:rPr>
        <w:t xml:space="preserve">Cuestiones actuales sobre la protección penal, civil y arbitral de los consumidores </w:t>
      </w:r>
      <w:r w:rsidRPr="002438D7">
        <w:rPr>
          <w:rFonts w:ascii="Arial" w:hAnsi="Arial" w:cs="Arial"/>
          <w:lang w:val="es-ES_tradnl"/>
        </w:rPr>
        <w:t>(coord., 2010)</w:t>
      </w:r>
      <w:r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i/>
          <w:lang w:val="es-ES_tradnl"/>
        </w:rPr>
        <w:t xml:space="preserve">Instrumentos procesales para la tutela judicial del crédito </w:t>
      </w:r>
      <w:r>
        <w:rPr>
          <w:rFonts w:ascii="Arial" w:hAnsi="Arial" w:cs="Arial"/>
          <w:lang w:val="es-ES_tradnl"/>
        </w:rPr>
        <w:t>(con Peiteado Mariscal, 2018)</w:t>
      </w:r>
      <w:r w:rsidR="00AB3412">
        <w:rPr>
          <w:rFonts w:ascii="Arial" w:hAnsi="Arial" w:cs="Arial"/>
          <w:lang w:val="es-ES_tradnl"/>
        </w:rPr>
        <w:t xml:space="preserve">, </w:t>
      </w:r>
      <w:r w:rsidR="00AB3412" w:rsidRPr="00AB3412">
        <w:rPr>
          <w:rFonts w:ascii="Arial" w:hAnsi="Arial" w:cs="Arial"/>
          <w:i/>
          <w:lang w:val="es-ES_tradnl"/>
        </w:rPr>
        <w:t>Actos procesales, comunicación procesal y medios electrónicos</w:t>
      </w:r>
      <w:r w:rsidR="00AB3412">
        <w:rPr>
          <w:rFonts w:ascii="Arial" w:hAnsi="Arial" w:cs="Arial"/>
          <w:i/>
          <w:lang w:val="es-ES_tradnl"/>
        </w:rPr>
        <w:t xml:space="preserve"> </w:t>
      </w:r>
      <w:r w:rsidR="00AB3412">
        <w:rPr>
          <w:rFonts w:ascii="Arial" w:hAnsi="Arial" w:cs="Arial"/>
          <w:lang w:val="es-ES_tradnl"/>
        </w:rPr>
        <w:t xml:space="preserve">(2019); </w:t>
      </w:r>
      <w:r w:rsidRPr="002438D7">
        <w:rPr>
          <w:rFonts w:ascii="Arial" w:hAnsi="Arial" w:cs="Arial"/>
          <w:lang w:val="es-ES_tradnl"/>
        </w:rPr>
        <w:t xml:space="preserve">así como del Manual </w:t>
      </w:r>
      <w:r w:rsidRPr="002438D7">
        <w:rPr>
          <w:rFonts w:ascii="Arial" w:hAnsi="Arial" w:cs="Arial"/>
          <w:i/>
          <w:iCs/>
          <w:lang w:val="es-ES_tradnl"/>
        </w:rPr>
        <w:t xml:space="preserve">Aspectos fundamentales de Derecho Procesal Civil </w:t>
      </w:r>
      <w:r w:rsidRPr="002438D7">
        <w:rPr>
          <w:rFonts w:ascii="Arial" w:hAnsi="Arial" w:cs="Arial"/>
          <w:lang w:val="es-ES_tradnl"/>
        </w:rPr>
        <w:t>(con Banacloche Palao, 2012, 2014</w:t>
      </w:r>
      <w:r>
        <w:rPr>
          <w:rFonts w:ascii="Arial" w:hAnsi="Arial" w:cs="Arial"/>
          <w:lang w:val="es-ES_tradnl"/>
        </w:rPr>
        <w:t xml:space="preserve">, </w:t>
      </w:r>
      <w:r w:rsidRPr="002438D7">
        <w:rPr>
          <w:rFonts w:ascii="Arial" w:hAnsi="Arial" w:cs="Arial"/>
          <w:lang w:val="es-ES_tradnl"/>
        </w:rPr>
        <w:t>2016</w:t>
      </w:r>
      <w:r>
        <w:rPr>
          <w:rFonts w:ascii="Arial" w:hAnsi="Arial" w:cs="Arial"/>
          <w:lang w:val="es-ES_tradnl"/>
        </w:rPr>
        <w:t xml:space="preserve"> y 2018</w:t>
      </w:r>
      <w:r w:rsidRPr="002438D7">
        <w:rPr>
          <w:rFonts w:ascii="Arial" w:hAnsi="Arial" w:cs="Arial"/>
          <w:lang w:val="es-ES_tradnl"/>
        </w:rPr>
        <w:t xml:space="preserve">). También ha participado en una veintena de libros colectivos como autor de uno o varios capítulos, y tiene publicados una </w:t>
      </w:r>
      <w:r>
        <w:rPr>
          <w:rFonts w:ascii="Arial" w:hAnsi="Arial" w:cs="Arial"/>
          <w:lang w:val="es-ES_tradnl"/>
        </w:rPr>
        <w:t xml:space="preserve">docena </w:t>
      </w:r>
      <w:r w:rsidRPr="002438D7">
        <w:rPr>
          <w:rFonts w:ascii="Arial" w:hAnsi="Arial" w:cs="Arial"/>
          <w:lang w:val="es-ES_tradnl"/>
        </w:rPr>
        <w:t>de artículos en revistas científicas.</w:t>
      </w:r>
    </w:p>
    <w:p w:rsidR="00CE385E" w:rsidRPr="00B008BA" w:rsidRDefault="00CE385E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C.1. Publicaciones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(de los 10 últimos años)</w:t>
      </w:r>
    </w:p>
    <w:p w:rsidR="00AB3412" w:rsidRDefault="00AB3412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—Libro </w:t>
      </w:r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Actos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procesales</w:t>
      </w:r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, comunicación procesal y medios electrónicos,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La Ley, Madrid, 2019.</w:t>
      </w:r>
    </w:p>
    <w:p w:rsidR="00531ACB" w:rsidRDefault="00531ACB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—Artículo “</w:t>
      </w:r>
      <w:r w:rsidRPr="00531ACB">
        <w:rPr>
          <w:rFonts w:ascii="Arial" w:eastAsia="Times New Roman" w:hAnsi="Arial" w:cs="Arial"/>
          <w:noProof/>
          <w:color w:val="000000"/>
          <w:lang w:val="es-ES_tradnl" w:eastAsia="es-ES"/>
        </w:rPr>
        <w:t>El derecho a la tutela judicial efectiva y el derecho a la ejecución en la jurisprudencia constitucional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”, </w:t>
      </w:r>
      <w:r w:rsidRPr="002438D7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en la Revista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Estudios de Deusto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, Vol. 66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/2, 201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8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pp.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347-372. 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>ISSN 0423-4847.</w:t>
      </w:r>
      <w:r>
        <w:rPr>
          <w:rFonts w:ascii="Arial" w:eastAsia="Times New Roman" w:hAnsi="Arial" w:cs="Arial"/>
          <w:noProof/>
          <w:color w:val="000000"/>
          <w:lang w:eastAsia="es-ES"/>
        </w:rPr>
        <w:t xml:space="preserve"> Coordinador de este número monografíco de la Revista, dedicado a “Los derechos fundamentales entre la justicia y la administración pública”.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Instrumentos procesales para la tutela judicial del crédito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(con Peiteado Mariscal), Dykinson, Madrid, 2018.</w:t>
      </w:r>
      <w:r w:rsidRPr="002438D7">
        <w:rPr>
          <w:rFonts w:ascii="Arial" w:hAnsi="Arial" w:cs="Arial"/>
          <w:color w:val="333333"/>
          <w:shd w:val="clear" w:color="auto" w:fill="FFFFFF"/>
        </w:rPr>
        <w:t xml:space="preserve"> ISBN: 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>978-8491485889.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i/>
          <w:iCs/>
          <w:noProof/>
          <w:color w:val="000000"/>
          <w:lang w:val="es-ES_tradnl" w:eastAsia="es-ES"/>
        </w:rPr>
        <w:t>—</w:t>
      </w:r>
      <w:r w:rsidRPr="002438D7">
        <w:rPr>
          <w:rFonts w:ascii="Arial" w:eastAsia="Times New Roman" w:hAnsi="Arial" w:cs="Arial"/>
          <w:iCs/>
          <w:noProof/>
          <w:color w:val="000000"/>
          <w:lang w:val="es-ES_tradnl" w:eastAsia="es-ES"/>
        </w:rPr>
        <w:t xml:space="preserve">Libro </w:t>
      </w:r>
      <w:r w:rsidRPr="002438D7">
        <w:rPr>
          <w:rFonts w:ascii="Arial" w:eastAsia="Times New Roman" w:hAnsi="Arial" w:cs="Arial"/>
          <w:i/>
          <w:iCs/>
          <w:noProof/>
          <w:color w:val="000000"/>
          <w:lang w:val="es-ES_tradnl" w:eastAsia="es-ES"/>
        </w:rPr>
        <w:t xml:space="preserve">Aspectos fundamentales de Derecho Procesal Civil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(con Banacloche Palao), La Ley, Madrid, 2012, 2014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2016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, 2018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. ISBN: 978-84-9020-109-1; 978-8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4-9020-296-8; 978-84-9020-488-7; 978-84-9020-741-3.</w:t>
      </w:r>
    </w:p>
    <w:p w:rsidR="00034D05" w:rsidRPr="009009FA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n-GB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—Artículo “Las </w:t>
      </w:r>
      <w:r w:rsidRPr="002438D7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causas de conexión penal y su aplicación tras la reforma operada por la Ley 41/2015”, en la Revista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Estudios de Deusto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Vol. 65/2, 2017, pp. 39-83. </w:t>
      </w:r>
      <w:r w:rsidRPr="009009FA">
        <w:rPr>
          <w:rFonts w:ascii="Arial" w:eastAsia="Times New Roman" w:hAnsi="Arial" w:cs="Arial"/>
          <w:noProof/>
          <w:color w:val="000000"/>
          <w:lang w:val="en-GB" w:eastAsia="es-ES"/>
        </w:rPr>
        <w:t>ISSN 0423-4847.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531ACB">
        <w:rPr>
          <w:rFonts w:ascii="Arial" w:eastAsia="Times New Roman" w:hAnsi="Arial" w:cs="Arial"/>
          <w:noProof/>
          <w:color w:val="000000"/>
          <w:lang w:val="en-US" w:eastAsia="es-ES"/>
        </w:rPr>
        <w:t xml:space="preserve">—Capítulo “The intended scope of the application of electronic mediation in the European Union”, del libro </w:t>
      </w:r>
      <w:r w:rsidRPr="00531ACB">
        <w:rPr>
          <w:rFonts w:ascii="Arial" w:eastAsia="Times New Roman" w:hAnsi="Arial" w:cs="Arial"/>
          <w:i/>
          <w:noProof/>
          <w:color w:val="000000"/>
          <w:lang w:val="en-US" w:eastAsia="es-ES"/>
        </w:rPr>
        <w:t xml:space="preserve">Electronic mediation and e-mediator: proposal for the European </w:t>
      </w:r>
      <w:r w:rsidRPr="00531ACB">
        <w:rPr>
          <w:rFonts w:ascii="Arial" w:eastAsia="Times New Roman" w:hAnsi="Arial" w:cs="Arial"/>
          <w:noProof/>
          <w:color w:val="000000"/>
          <w:lang w:val="en-US" w:eastAsia="es-ES"/>
        </w:rPr>
        <w:t xml:space="preserve">(coord.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Bujosa Vadell), Comares, Granada, 2016, pp. 125-132. 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>ISBN: 978-84-9045-405-3.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“Novedades relativas al régimen de los actos procesales: presentación de escritos, traslado de copias y actos de comunicación practicados por medios electrónicos”, del libro </w:t>
      </w:r>
      <w:r w:rsidRPr="002438D7">
        <w:rPr>
          <w:rFonts w:ascii="Arial" w:eastAsia="Times New Roman" w:hAnsi="Arial" w:cs="Arial"/>
          <w:i/>
          <w:noProof/>
          <w:color w:val="000000"/>
          <w:lang w:eastAsia="es-ES"/>
        </w:rPr>
        <w:t>Derecho, Justicia, Universidad. </w:t>
      </w:r>
      <w:r w:rsidRPr="002438D7">
        <w:rPr>
          <w:rFonts w:ascii="Arial" w:eastAsia="Times New Roman" w:hAnsi="Arial" w:cs="Arial"/>
          <w:i/>
          <w:iCs/>
          <w:noProof/>
          <w:color w:val="000000"/>
          <w:lang w:eastAsia="es-ES"/>
        </w:rPr>
        <w:t>Liber amicorum</w:t>
      </w:r>
      <w:r w:rsidRPr="002438D7">
        <w:rPr>
          <w:rFonts w:ascii="Arial" w:eastAsia="Times New Roman" w:hAnsi="Arial" w:cs="Arial"/>
          <w:i/>
          <w:noProof/>
          <w:color w:val="000000"/>
          <w:lang w:eastAsia="es-ES"/>
        </w:rPr>
        <w:t> de Andrés de la Oliva Santos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 xml:space="preserve"> (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coord. Vegas Torres y Díez-Picazo Giménez), Vol. I, Editorial Universitaria Ramón Areces, Madrid, 2016, pp. 883-896. 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>ISBN Obra Completa: 978-84-9961-221-9 y ISBN Vol. I: 978-84-9961-250-8.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“La ejecución provisional”, del 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El proceso de ejecución forzosa. Problemas actuales y soluciones jurisprudenciales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(coord. Gutiérrez Berlinches), La Ley, Madrid, 2015, pp. 1061-1164. ISBN: 978-84-9020-463-4.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“La determinación del órgano competente en el orden penal: algunos problemas pendientes”, del libro </w:t>
      </w:r>
      <w:r w:rsidRPr="002438D7">
        <w:rPr>
          <w:rFonts w:ascii="Arial" w:eastAsia="Times New Roman" w:hAnsi="Arial" w:cs="Arial"/>
          <w:i/>
          <w:iCs/>
          <w:noProof/>
          <w:color w:val="000000"/>
          <w:lang w:val="es-ES_tradnl" w:eastAsia="es-ES"/>
        </w:rPr>
        <w:t xml:space="preserve">Los sujetos protagonistas del proceso penal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(coord. Chozas Alonso), Dykinson, Madrid, 2015, pp. 123-155. ISBN: 978-84-9085-437-2.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“La protección del demandado en el proceso civil europeo: en especial, garantías en caso de incomparecencia”, del libro </w:t>
      </w:r>
      <w:r w:rsidRPr="002438D7">
        <w:rPr>
          <w:rFonts w:ascii="Arial" w:eastAsia="Times New Roman" w:hAnsi="Arial" w:cs="Arial"/>
          <w:i/>
          <w:iCs/>
          <w:noProof/>
          <w:color w:val="000000"/>
          <w:lang w:val="es-ES_tradnl" w:eastAsia="es-ES"/>
        </w:rPr>
        <w:t>La Armonización del Derecho Procesal tras el Tratado de Lisboa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(dir. De la Oliva Santos y Calderón Cuadrado), Aranzadi, Pamplona, 2012, pp. 285-324. ISBN: 978-84-9903-959-6.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2438D7">
        <w:rPr>
          <w:rFonts w:ascii="Arial" w:eastAsia="Times New Roman" w:hAnsi="Arial" w:cs="Arial"/>
          <w:noProof/>
          <w:color w:val="000000"/>
          <w:lang w:eastAsia="es-ES"/>
        </w:rPr>
        <w:t>—Capítulo “Transmission of judicial and extrajudicial documents for the purposes of service: Regulation 1393/2007”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(con Aguilera Morales),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 xml:space="preserve"> del libro </w:t>
      </w:r>
      <w:r w:rsidRPr="002438D7">
        <w:rPr>
          <w:rFonts w:ascii="Arial" w:eastAsia="Times New Roman" w:hAnsi="Arial" w:cs="Arial"/>
          <w:i/>
          <w:noProof/>
          <w:color w:val="000000"/>
          <w:lang w:eastAsia="es-ES"/>
        </w:rPr>
        <w:t>European Civil Procedure</w:t>
      </w:r>
      <w:r w:rsidRPr="002438D7">
        <w:rPr>
          <w:rFonts w:ascii="Arial" w:eastAsia="Times New Roman" w:hAnsi="Arial" w:cs="Arial"/>
          <w:noProof/>
          <w:color w:val="000000"/>
          <w:lang w:eastAsia="es-ES"/>
        </w:rPr>
        <w:t xml:space="preserve"> (dir. De la Oliva Santos), Aranzadi, Pamplona, 2011, pp. 283-303. ISBN: 978-84-9903-017-3.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“Transmisión de documentos judiciales y extrajudiciales a efectos de notificación y traslado” (con Aguilera Morales), del 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Acceso a la justicia y auxilio judicial enla Unión Europea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(dir. De Oliva Santos y coord. Calderón Cuadrado), Aranzadi, Pamplona, 2011, pp. 175-249. ISBN: 978-84-9903-816-2.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“Sistema Arbitral de Consumo”, del 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La defensa de los consumidores y usuarios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, (dir. Rebollo Puig e Izquierdo Carrasco), Iustel, Madrid, 2011, pp. 968-1032. ISBN: 978-84-9890-153-5.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—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Coordinador del 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Cuestiones actuales sobre la protección de los consumidores:</w:t>
      </w:r>
      <w:r w:rsidR="00531ACB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tutela penal, civil y arbitral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y autor del Capítulo “El procedimiento para la tutela arbitral de los consumidores”, </w:t>
      </w:r>
      <w:r w:rsidRPr="002438D7">
        <w:rPr>
          <w:rFonts w:ascii="Arial" w:eastAsia="Times New Roman" w:hAnsi="Arial" w:cs="Arial"/>
          <w:iCs/>
          <w:noProof/>
          <w:color w:val="000000"/>
          <w:lang w:val="es-ES_tradnl" w:eastAsia="es-ES"/>
        </w:rPr>
        <w:t>Thomson-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Civitas, Madrid, 2010, pp. 275-349. ISBN: 978-84-470-3461-1.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—Capítulo “El Arbitraje de Consumo Electrónico” (coord. Senés Motilla”), del 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Presente y Futuro de la e-Justicia en España y </w:t>
      </w:r>
      <w:smartTag w:uri="urn:schemas-microsoft-com:office:smarttags" w:element="PersonName">
        <w:r w:rsidRPr="002438D7">
          <w:rPr>
            <w:rFonts w:ascii="Arial" w:eastAsia="Times New Roman" w:hAnsi="Arial" w:cs="Arial"/>
            <w:i/>
            <w:noProof/>
            <w:color w:val="000000"/>
            <w:lang w:val="es-ES_tradnl" w:eastAsia="es-ES"/>
          </w:rPr>
          <w:t>la Unión Europea</w:t>
        </w:r>
      </w:smartTag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, Aranzadi, Pamplona, 2010, pp. 369-394. ISBN: 978-84-9903-537-6.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—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Libro 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La protección de testigos en el proceso penal</w:t>
      </w:r>
      <w:r w:rsidRPr="002438D7">
        <w:rPr>
          <w:rFonts w:ascii="Arial" w:eastAsia="Times New Roman" w:hAnsi="Arial" w:cs="Arial"/>
          <w:iCs/>
          <w:noProof/>
          <w:color w:val="000000"/>
          <w:lang w:val="es-ES_tradnl" w:eastAsia="es-ES"/>
        </w:rPr>
        <w:t>, Thomson-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Civitas, Madrid, 2009. ISBN: 978-84-470-3233-4.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lastRenderedPageBreak/>
        <w:t xml:space="preserve">C.2. Proyectos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(participación en proyectos I+D+i en los 10 ultimos años)</w:t>
      </w:r>
    </w:p>
    <w:p w:rsidR="007109D2" w:rsidRPr="007109D2" w:rsidRDefault="007109D2" w:rsidP="007109D2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—Miembro del Proyecto de Investigación “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D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esafios del derecho de sucesiones en el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S. XXI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: una reforma esperada y necesaria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” (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RTI2018-094855-B-I00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)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, financiado por el Ministerio de Ciencia, Innovación y Universidad</w:t>
      </w:r>
      <w:r w:rsidR="00BA5FA1">
        <w:rPr>
          <w:rFonts w:ascii="Arial" w:eastAsia="Times New Roman" w:hAnsi="Arial" w:cs="Arial"/>
          <w:noProof/>
          <w:color w:val="000000"/>
          <w:lang w:val="es-ES_tradnl" w:eastAsia="es-ES"/>
        </w:rPr>
        <w:t>e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s, desde el 1 de enero de 2019 y hasta el 31 de diciembre de 202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2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.</w:t>
      </w:r>
    </w:p>
    <w:p w:rsidR="007109D2" w:rsidRDefault="007109D2" w:rsidP="007109D2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Miembro del Proyecto de Investigación “H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acia un proceso civil convergente con europa.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H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itos presentes y retos futuros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” (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PGC2018-094693-B-I00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), fina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nciado por el Ministerio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de Ciencia, Innovación y Universidads, 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desde el 1 de enero de 201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9 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y hasta el 31 de diciembre de 20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2</w:t>
      </w:r>
      <w:r w:rsidRPr="007109D2">
        <w:rPr>
          <w:rFonts w:ascii="Arial" w:eastAsia="Times New Roman" w:hAnsi="Arial" w:cs="Arial"/>
          <w:noProof/>
          <w:color w:val="000000"/>
          <w:lang w:val="es-ES_tradnl" w:eastAsia="es-ES"/>
        </w:rPr>
        <w:t>1.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—Miembro del Proyecto de Investigación “Administración Pública y Derechos fundamentales: nuevas perspectivas” (DER2015-67695-C2-2-P), fina</w:t>
      </w:r>
      <w:bookmarkStart w:id="1" w:name="_Hlk29816108"/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nciado por el Ministerio de Economía y Competitividad, desde el 1 de enero de 2016 y hasta el 31 de diciembre de 2018.</w:t>
      </w:r>
    </w:p>
    <w:bookmarkEnd w:id="1"/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—Miembro del Proyecto de Investigación “El modelo acusatorio y la Constitución de 1978: el marco para una reforma del enjuiciamiento criminal” (DER2012-32258), financiado por el Ministerio de Economía y Competitividad, desde el 1 de enero de 2012 y hasta el 31 de diciembre de 2015. Prorrogado hasta el 30 de junio de 2016.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—Miembro del Proyecto de Investigación europeo (</w:t>
      </w:r>
      <w:r w:rsidRPr="002438D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Action Grant) </w:t>
      </w: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“El Derecho Procesal Civil Europeo y la implantación de la e-Justicia en </w:t>
      </w:r>
      <w:smartTag w:uri="urn:schemas-microsoft-com:office:smarttags" w:element="PersonName">
        <w:smartTagPr>
          <w:attr w:name="ProductID" w:val="la Uni￳n Europea"/>
        </w:smartTagPr>
        <w:r w:rsidRPr="002438D7">
          <w:rPr>
            <w:rFonts w:ascii="Arial" w:eastAsia="Times New Roman" w:hAnsi="Arial" w:cs="Arial"/>
            <w:noProof/>
            <w:color w:val="000000"/>
            <w:lang w:val="es-ES_tradnl" w:eastAsia="es-ES"/>
          </w:rPr>
          <w:t>la Unión Europea</w:t>
        </w:r>
      </w:smartTag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: plan de estudio y difusión entre operadores jurídicos” (JLS/2008/JCIV/AG/1008-30-CE-0306633/00-00), financiado por </w:t>
      </w:r>
      <w:smartTag w:uri="urn:schemas-microsoft-com:office:smarttags" w:element="PersonName">
        <w:smartTagPr>
          <w:attr w:name="ProductID" w:val="la Comisi￳n Europea"/>
        </w:smartTagPr>
        <w:r w:rsidRPr="002438D7">
          <w:rPr>
            <w:rFonts w:ascii="Arial" w:eastAsia="Times New Roman" w:hAnsi="Arial" w:cs="Arial"/>
            <w:noProof/>
            <w:color w:val="000000"/>
            <w:lang w:val="es-ES_tradnl" w:eastAsia="es-ES"/>
          </w:rPr>
          <w:t>la Comisión Europea</w:t>
        </w:r>
      </w:smartTag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, desde el 1 de enero de 2010 hasta el 31 de diciembre de 2011.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—Miembro del Proyecto de Investigación “La construcción de un Derecho Procesal Europeo en el marco del Tratado de Lisboa” (SEJ2008-04863/JURI), financiado por el Ministerio de Ciencia e Innovación, desde el 1 de enero de 2009 hasta el 31 de diciembre de 2011.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—Investigador Principal del Proyecto de Excelencia “Nuevos instrumentos para la tutela judicial y extrajudicial de los consumidores” (SEJ 4270), financiado por </w:t>
      </w:r>
      <w:smartTag w:uri="urn:schemas-microsoft-com:office:smarttags" w:element="PersonName">
        <w:smartTagPr>
          <w:attr w:name="ProductID" w:val="la Junta"/>
        </w:smartTagPr>
        <w:r w:rsidRPr="002438D7">
          <w:rPr>
            <w:rFonts w:ascii="Arial" w:eastAsia="Times New Roman" w:hAnsi="Arial" w:cs="Arial"/>
            <w:noProof/>
            <w:color w:val="000000"/>
            <w:lang w:val="es-ES_tradnl" w:eastAsia="es-ES"/>
          </w:rPr>
          <w:t>la Junta</w:t>
        </w:r>
      </w:smartTag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de Andalucía, desde el 13 de enero de 2009 hasta el 13 de enero de 2011.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noProof/>
          <w:color w:val="000000"/>
          <w:lang w:val="es-ES_tradnl" w:eastAsia="es-ES"/>
        </w:rPr>
        <w:t>—Miembro del Proyecto de Investigación “Nuevas reformas sustantivas y procesales en el sistema jurídico penal” (SEJ2007-66573), financiado por el Ministerio de Educación y Ciencia, desde el 1 de octubre de 2007 hasta el 30 de septiembre de 2010.</w:t>
      </w: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034D05" w:rsidRPr="002438D7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C.3. Contratos</w:t>
      </w:r>
    </w:p>
    <w:p w:rsidR="00034D05" w:rsidRPr="00531ACB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5B1461">
        <w:rPr>
          <w:rFonts w:ascii="Arial" w:eastAsia="Times New Roman" w:hAnsi="Arial" w:cs="Arial"/>
          <w:noProof/>
          <w:color w:val="000000"/>
          <w:lang w:val="es-ES_tradnl" w:eastAsia="es-ES"/>
        </w:rPr>
        <w:t>—</w:t>
      </w:r>
      <w:r w:rsidRPr="00531ACB">
        <w:rPr>
          <w:rFonts w:ascii="Arial" w:eastAsia="Times New Roman" w:hAnsi="Arial" w:cs="Arial"/>
          <w:noProof/>
          <w:color w:val="000000"/>
          <w:lang w:eastAsia="es-ES"/>
        </w:rPr>
        <w:t xml:space="preserve">Participación como miembro del equipo investigador (junto con Pilar Peiteado Mariscal) del Contrato de Investigación del art. 83 de la Ley Orgánica de Universidades, celebrado entre la Universidad Complutense y ADARVE Abogados SLP, desde el 1 de septiembre de 2017 hasta el </w:t>
      </w:r>
      <w:r w:rsidR="007109D2">
        <w:rPr>
          <w:rFonts w:ascii="Arial" w:eastAsia="Times New Roman" w:hAnsi="Arial" w:cs="Arial"/>
          <w:noProof/>
          <w:color w:val="000000"/>
          <w:lang w:eastAsia="es-ES"/>
        </w:rPr>
        <w:t>1 de septiembre de 2020, pa</w:t>
      </w:r>
      <w:r w:rsidRPr="00531ACB">
        <w:rPr>
          <w:rFonts w:ascii="Arial" w:eastAsia="Times New Roman" w:hAnsi="Arial" w:cs="Arial"/>
          <w:noProof/>
          <w:color w:val="000000"/>
          <w:lang w:eastAsia="es-ES"/>
        </w:rPr>
        <w:t>ra realizar tareas de formación y asesoramiento académico.</w:t>
      </w:r>
    </w:p>
    <w:p w:rsidR="00034D05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034D05" w:rsidRDefault="00034D05" w:rsidP="00034D05">
      <w:pPr>
        <w:tabs>
          <w:tab w:val="left" w:pos="6075"/>
        </w:tabs>
        <w:spacing w:after="8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2438D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C.4. 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Dirección de trabajos de investigación</w:t>
      </w:r>
    </w:p>
    <w:p w:rsidR="00034D05" w:rsidRPr="000B6DCF" w:rsidRDefault="00034D05" w:rsidP="00034D05">
      <w:pPr>
        <w:tabs>
          <w:tab w:val="left" w:pos="6075"/>
        </w:tabs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0B6DCF">
        <w:rPr>
          <w:rFonts w:ascii="Arial" w:eastAsia="Times New Roman" w:hAnsi="Arial" w:cs="Arial"/>
          <w:noProof/>
          <w:color w:val="000000"/>
          <w:lang w:val="es-ES_tradnl" w:eastAsia="es-ES"/>
        </w:rPr>
        <w:t>—</w:t>
      </w:r>
      <w:r w:rsidR="00610A9E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Tesis doctorales: </w:t>
      </w:r>
      <w:r w:rsidRPr="000B6DCF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Director de la tesis titulada “La ejecución provisional de las resoluciones judiciales en el proceso civil español”, realizada por D. Günther Besser Valenzuela, y defendida en la Universidad Complutense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de Madrid </w:t>
      </w:r>
      <w:r w:rsidRPr="000B6DCF">
        <w:rPr>
          <w:rFonts w:ascii="Arial" w:eastAsia="Times New Roman" w:hAnsi="Arial" w:cs="Arial"/>
          <w:noProof/>
          <w:color w:val="000000"/>
          <w:lang w:val="es-ES_tradnl" w:eastAsia="es-ES"/>
        </w:rPr>
        <w:t>el 29 de junio de 2017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(calificado con </w:t>
      </w:r>
      <w:r w:rsidRPr="000B6DCF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Sobresaliente </w:t>
      </w:r>
      <w:r w:rsidRPr="000B6DC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cum laude</w:t>
      </w:r>
      <w:r w:rsidRPr="000B6DCF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por unanimidad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)</w:t>
      </w:r>
      <w:r w:rsidRPr="000B6DCF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. </w:t>
      </w:r>
    </w:p>
    <w:p w:rsidR="00034D05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5B1461">
        <w:rPr>
          <w:rFonts w:ascii="Arial" w:eastAsia="Times New Roman" w:hAnsi="Arial" w:cs="Arial"/>
          <w:noProof/>
          <w:color w:val="000000"/>
          <w:lang w:val="es-ES_tradnl" w:eastAsia="es-ES"/>
        </w:rPr>
        <w:t>—</w:t>
      </w:r>
      <w:r w:rsidR="00610A9E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Trabajos de Fin de Máster: </w:t>
      </w:r>
      <w:r w:rsidRPr="005B1461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Tutor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de </w:t>
      </w:r>
      <w:r w:rsidR="00610A9E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cuatro TFM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del Master </w:t>
      </w:r>
      <w:r w:rsidRPr="005B1461">
        <w:rPr>
          <w:rFonts w:ascii="Arial" w:eastAsia="Times New Roman" w:hAnsi="Arial" w:cs="Arial"/>
          <w:noProof/>
          <w:color w:val="000000"/>
          <w:lang w:val="es-ES_tradnl" w:eastAsia="es-ES"/>
        </w:rPr>
        <w:t>en Derecho Público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de la Universidad Complutense, duran</w:t>
      </w:r>
      <w:r w:rsidR="00531ACB">
        <w:rPr>
          <w:rFonts w:ascii="Arial" w:eastAsia="Times New Roman" w:hAnsi="Arial" w:cs="Arial"/>
          <w:noProof/>
          <w:color w:val="000000"/>
          <w:lang w:val="es-ES_tradnl" w:eastAsia="es-ES"/>
        </w:rPr>
        <w:t>te los cursos 2011/12 a 2013/14, y de uno en el Master de Asesoría Jurídica de Empresas de la Universidad de Córdoba, durante el curso 2017/18.</w:t>
      </w:r>
    </w:p>
    <w:p w:rsidR="00034D05" w:rsidRDefault="00034D05" w:rsidP="00034D05">
      <w:pPr>
        <w:spacing w:after="8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034D05" w:rsidSect="00C50D43">
      <w:headerReference w:type="default" r:id="rId8"/>
      <w:footerReference w:type="defaul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77" w:rsidRDefault="00F77D77" w:rsidP="00B45F1A">
      <w:pPr>
        <w:spacing w:after="0" w:line="240" w:lineRule="auto"/>
      </w:pPr>
      <w:r>
        <w:separator/>
      </w:r>
    </w:p>
  </w:endnote>
  <w:endnote w:type="continuationSeparator" w:id="0">
    <w:p w:rsidR="00F77D77" w:rsidRDefault="00F77D77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2D4BFC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052F3D"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21E93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77" w:rsidRDefault="00F77D77" w:rsidP="00B45F1A">
      <w:pPr>
        <w:spacing w:after="0" w:line="240" w:lineRule="auto"/>
      </w:pPr>
      <w:r>
        <w:separator/>
      </w:r>
    </w:p>
  </w:footnote>
  <w:footnote w:type="continuationSeparator" w:id="0">
    <w:p w:rsidR="00F77D77" w:rsidRDefault="00F77D77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BC1FF2" w:rsidP="00BC1FF2">
    <w:pPr>
      <w:pStyle w:val="Encabezado"/>
      <w:ind w:left="-993"/>
    </w:pPr>
    <w:r>
      <w:rPr>
        <w:noProof/>
        <w:position w:val="12"/>
        <w:sz w:val="36"/>
        <w:szCs w:val="20"/>
        <w:lang w:eastAsia="es-ES"/>
      </w:rPr>
      <w:drawing>
        <wp:inline distT="0" distB="0" distL="0" distR="0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876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para rellenar correctamente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el  CVA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07BAA"/>
    <w:rsid w:val="000175A6"/>
    <w:rsid w:val="00034D05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D4BFC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40F0"/>
    <w:rsid w:val="003A1BB3"/>
    <w:rsid w:val="00404A46"/>
    <w:rsid w:val="00415C25"/>
    <w:rsid w:val="00432CC4"/>
    <w:rsid w:val="00490297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31ACB"/>
    <w:rsid w:val="005428A5"/>
    <w:rsid w:val="0054690E"/>
    <w:rsid w:val="00567C51"/>
    <w:rsid w:val="005737A8"/>
    <w:rsid w:val="00597199"/>
    <w:rsid w:val="005973EB"/>
    <w:rsid w:val="005A3C65"/>
    <w:rsid w:val="005A5AB9"/>
    <w:rsid w:val="005B78E5"/>
    <w:rsid w:val="005C38D7"/>
    <w:rsid w:val="00610A9E"/>
    <w:rsid w:val="00615AAF"/>
    <w:rsid w:val="00623D6D"/>
    <w:rsid w:val="00650E71"/>
    <w:rsid w:val="00665313"/>
    <w:rsid w:val="00674285"/>
    <w:rsid w:val="00696B6C"/>
    <w:rsid w:val="006A071E"/>
    <w:rsid w:val="006A71C2"/>
    <w:rsid w:val="006B2155"/>
    <w:rsid w:val="006F29C7"/>
    <w:rsid w:val="006F635F"/>
    <w:rsid w:val="006F7A31"/>
    <w:rsid w:val="007109D2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0BE0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09FA"/>
    <w:rsid w:val="0090213E"/>
    <w:rsid w:val="00934B86"/>
    <w:rsid w:val="00994547"/>
    <w:rsid w:val="009A35F1"/>
    <w:rsid w:val="009B22DD"/>
    <w:rsid w:val="009C1E87"/>
    <w:rsid w:val="009C570A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B3412"/>
    <w:rsid w:val="00AB604E"/>
    <w:rsid w:val="00AC16B6"/>
    <w:rsid w:val="00AE193F"/>
    <w:rsid w:val="00AE506A"/>
    <w:rsid w:val="00AE77B1"/>
    <w:rsid w:val="00AF2764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A5FA1"/>
    <w:rsid w:val="00BA6F58"/>
    <w:rsid w:val="00BC1FF2"/>
    <w:rsid w:val="00BE75C6"/>
    <w:rsid w:val="00C06C85"/>
    <w:rsid w:val="00C21E93"/>
    <w:rsid w:val="00C36A2A"/>
    <w:rsid w:val="00C50D43"/>
    <w:rsid w:val="00C53724"/>
    <w:rsid w:val="00C61B6D"/>
    <w:rsid w:val="00C82086"/>
    <w:rsid w:val="00C93E47"/>
    <w:rsid w:val="00CD174B"/>
    <w:rsid w:val="00CD23DD"/>
    <w:rsid w:val="00CE385E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84876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77D77"/>
    <w:rsid w:val="00F872ED"/>
    <w:rsid w:val="00F87E06"/>
    <w:rsid w:val="00F960B5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0DD4149-D740-4681-BF4D-7D2C7D1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E38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1-8901-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Rafaela Porras Serrano</cp:lastModifiedBy>
  <cp:revision>2</cp:revision>
  <cp:lastPrinted>2014-07-31T14:59:00Z</cp:lastPrinted>
  <dcterms:created xsi:type="dcterms:W3CDTF">2020-10-26T13:21:00Z</dcterms:created>
  <dcterms:modified xsi:type="dcterms:W3CDTF">2020-10-26T13:21:00Z</dcterms:modified>
</cp:coreProperties>
</file>