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F3A764" w14:textId="77777777" w:rsidR="00D14963" w:rsidRDefault="00D14963">
      <w:pPr>
        <w:spacing w:after="0" w:line="240" w:lineRule="auto"/>
        <w:jc w:val="both"/>
        <w:rPr>
          <w:rFonts w:ascii="Arial Narrow" w:hAnsi="Arial Narrow" w:cs="Arial"/>
        </w:rPr>
      </w:pPr>
    </w:p>
    <w:tbl>
      <w:tblPr>
        <w:tblpPr w:leftFromText="141" w:rightFromText="141" w:vertAnchor="text" w:horzAnchor="page" w:tblpX="6576" w:tblpY="117"/>
        <w:tblW w:w="4039" w:type="dxa"/>
        <w:tblCellMar>
          <w:left w:w="70" w:type="dxa"/>
          <w:right w:w="70" w:type="dxa"/>
        </w:tblCellMar>
        <w:tblLook w:val="04A0" w:firstRow="1" w:lastRow="0" w:firstColumn="1" w:lastColumn="0" w:noHBand="0" w:noVBand="1"/>
      </w:tblPr>
      <w:tblGrid>
        <w:gridCol w:w="2623"/>
        <w:gridCol w:w="1416"/>
      </w:tblGrid>
      <w:tr w:rsidR="00D14963" w14:paraId="672DA2F8" w14:textId="77777777">
        <w:trPr>
          <w:trHeight w:val="300"/>
        </w:trPr>
        <w:tc>
          <w:tcPr>
            <w:tcW w:w="262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46974A7" w14:textId="77777777" w:rsidR="00D14963" w:rsidRDefault="00CC79B0">
            <w:pPr>
              <w:spacing w:after="0" w:line="240" w:lineRule="auto"/>
              <w:rPr>
                <w:rFonts w:ascii="Arial" w:eastAsia="Times New Roman" w:hAnsi="Arial" w:cs="Arial"/>
                <w:b/>
                <w:bCs/>
                <w:color w:val="000000"/>
                <w:lang w:eastAsia="es-ES"/>
              </w:rPr>
            </w:pPr>
            <w:r>
              <w:rPr>
                <w:rFonts w:ascii="Arial" w:eastAsia="Times New Roman" w:hAnsi="Arial" w:cs="Arial"/>
                <w:b/>
                <w:bCs/>
                <w:color w:val="000000"/>
                <w:lang w:eastAsia="es-ES"/>
              </w:rPr>
              <w:t>Fecha del CVA</w:t>
            </w:r>
          </w:p>
        </w:tc>
        <w:tc>
          <w:tcPr>
            <w:tcW w:w="1416" w:type="dxa"/>
            <w:tcBorders>
              <w:top w:val="single" w:sz="4" w:space="0" w:color="000000"/>
              <w:bottom w:val="single" w:sz="4" w:space="0" w:color="000000"/>
              <w:right w:val="single" w:sz="4" w:space="0" w:color="000000"/>
            </w:tcBorders>
            <w:shd w:val="clear" w:color="auto" w:fill="auto"/>
            <w:vAlign w:val="center"/>
          </w:tcPr>
          <w:p w14:paraId="0CAD15E5" w14:textId="2E5B541D" w:rsidR="00D14963" w:rsidRDefault="00CC79B0">
            <w:pPr>
              <w:spacing w:after="0" w:line="240" w:lineRule="auto"/>
              <w:rPr>
                <w:rFonts w:ascii="Arial" w:eastAsia="Times New Roman" w:hAnsi="Arial" w:cs="Arial"/>
                <w:color w:val="000000"/>
                <w:lang w:eastAsia="es-ES"/>
              </w:rPr>
            </w:pPr>
            <w:r>
              <w:rPr>
                <w:rFonts w:ascii="Arial" w:eastAsia="Times New Roman" w:hAnsi="Arial" w:cs="Arial"/>
                <w:color w:val="000000"/>
                <w:lang w:eastAsia="es-ES"/>
              </w:rPr>
              <w:t> </w:t>
            </w:r>
            <w:r w:rsidR="00861271">
              <w:rPr>
                <w:rFonts w:ascii="Arial" w:eastAsia="Times New Roman" w:hAnsi="Arial" w:cs="Arial"/>
                <w:color w:val="000000"/>
                <w:lang w:eastAsia="es-ES"/>
              </w:rPr>
              <w:t>15</w:t>
            </w:r>
            <w:r>
              <w:rPr>
                <w:rFonts w:ascii="Arial" w:eastAsia="Times New Roman" w:hAnsi="Arial" w:cs="Arial"/>
                <w:color w:val="000000"/>
                <w:lang w:eastAsia="es-ES"/>
              </w:rPr>
              <w:t>/</w:t>
            </w:r>
            <w:r w:rsidR="00861271">
              <w:rPr>
                <w:rFonts w:ascii="Arial" w:eastAsia="Times New Roman" w:hAnsi="Arial" w:cs="Arial"/>
                <w:color w:val="000000"/>
                <w:lang w:eastAsia="es-ES"/>
              </w:rPr>
              <w:t>10</w:t>
            </w:r>
            <w:r>
              <w:rPr>
                <w:rFonts w:ascii="Arial" w:eastAsia="Times New Roman" w:hAnsi="Arial" w:cs="Arial"/>
                <w:color w:val="000000"/>
                <w:lang w:eastAsia="es-ES"/>
              </w:rPr>
              <w:t>/2020</w:t>
            </w:r>
          </w:p>
        </w:tc>
      </w:tr>
    </w:tbl>
    <w:p w14:paraId="5CD1E772" w14:textId="77777777" w:rsidR="00D14963" w:rsidRDefault="00D14963">
      <w:pPr>
        <w:spacing w:after="0" w:line="240" w:lineRule="auto"/>
        <w:rPr>
          <w:rFonts w:ascii="Arial" w:hAnsi="Arial" w:cs="Arial"/>
          <w:b/>
        </w:rPr>
      </w:pPr>
    </w:p>
    <w:p w14:paraId="7BA8FB11" w14:textId="77777777" w:rsidR="00D14963" w:rsidRDefault="00D14963">
      <w:pPr>
        <w:spacing w:after="0" w:line="240" w:lineRule="auto"/>
        <w:rPr>
          <w:rFonts w:ascii="Arial" w:hAnsi="Arial" w:cs="Arial"/>
          <w:b/>
          <w:bCs/>
        </w:rPr>
      </w:pPr>
    </w:p>
    <w:p w14:paraId="1CB4C8A5" w14:textId="77777777" w:rsidR="00D14963" w:rsidRDefault="00D14963">
      <w:pPr>
        <w:spacing w:after="0" w:line="240" w:lineRule="auto"/>
        <w:rPr>
          <w:rFonts w:ascii="Arial" w:hAnsi="Arial" w:cs="Arial"/>
          <w:b/>
          <w:bCs/>
        </w:rPr>
      </w:pPr>
    </w:p>
    <w:p w14:paraId="5E821305" w14:textId="77777777" w:rsidR="00D14963" w:rsidRDefault="00CC79B0">
      <w:pPr>
        <w:spacing w:after="0" w:line="240" w:lineRule="auto"/>
        <w:rPr>
          <w:rFonts w:ascii="Times New Roman" w:hAnsi="Times New Roman"/>
          <w:b/>
        </w:rPr>
      </w:pPr>
      <w:r>
        <w:rPr>
          <w:rFonts w:ascii="Times New Roman" w:hAnsi="Times New Roman"/>
          <w:b/>
        </w:rPr>
        <w:t>Parte A.DATOS PERSONALES</w:t>
      </w:r>
    </w:p>
    <w:tbl>
      <w:tblPr>
        <w:tblW w:w="9087" w:type="dxa"/>
        <w:tblInd w:w="55" w:type="dxa"/>
        <w:tblCellMar>
          <w:left w:w="70" w:type="dxa"/>
          <w:right w:w="70" w:type="dxa"/>
        </w:tblCellMar>
        <w:tblLook w:val="04A0" w:firstRow="1" w:lastRow="0" w:firstColumn="1" w:lastColumn="0" w:noHBand="0" w:noVBand="1"/>
      </w:tblPr>
      <w:tblGrid>
        <w:gridCol w:w="2380"/>
        <w:gridCol w:w="2120"/>
        <w:gridCol w:w="1752"/>
        <w:gridCol w:w="851"/>
        <w:gridCol w:w="1984"/>
      </w:tblGrid>
      <w:tr w:rsidR="00D14963" w14:paraId="111A3834" w14:textId="77777777">
        <w:trPr>
          <w:trHeight w:val="20"/>
        </w:trPr>
        <w:tc>
          <w:tcPr>
            <w:tcW w:w="23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207FAF" w14:textId="77777777" w:rsidR="00D14963" w:rsidRDefault="00CC79B0">
            <w:pPr>
              <w:spacing w:after="0" w:line="240" w:lineRule="auto"/>
              <w:rPr>
                <w:rFonts w:ascii="Times New Roman" w:eastAsia="Times New Roman" w:hAnsi="Times New Roman"/>
                <w:bCs/>
                <w:color w:val="000000"/>
                <w:lang w:eastAsia="es-ES"/>
              </w:rPr>
            </w:pPr>
            <w:r>
              <w:rPr>
                <w:rFonts w:ascii="Times New Roman" w:eastAsia="Times New Roman" w:hAnsi="Times New Roman"/>
                <w:bCs/>
                <w:color w:val="000000"/>
                <w:lang w:eastAsia="es-ES"/>
              </w:rPr>
              <w:t>Nombre y apellidos</w:t>
            </w:r>
          </w:p>
        </w:tc>
        <w:tc>
          <w:tcPr>
            <w:tcW w:w="6707" w:type="dxa"/>
            <w:gridSpan w:val="4"/>
            <w:tcBorders>
              <w:top w:val="single" w:sz="4" w:space="0" w:color="000000"/>
              <w:bottom w:val="single" w:sz="4" w:space="0" w:color="000000"/>
              <w:right w:val="single" w:sz="4" w:space="0" w:color="000000"/>
            </w:tcBorders>
            <w:shd w:val="clear" w:color="auto" w:fill="auto"/>
            <w:vAlign w:val="center"/>
          </w:tcPr>
          <w:p w14:paraId="5CCF2062" w14:textId="77777777" w:rsidR="00D14963" w:rsidRDefault="00CC79B0">
            <w:pPr>
              <w:spacing w:after="0" w:line="240" w:lineRule="auto"/>
              <w:rPr>
                <w:rFonts w:ascii="Times New Roman" w:eastAsia="Times New Roman" w:hAnsi="Times New Roman"/>
                <w:color w:val="000000"/>
                <w:lang w:eastAsia="es-ES"/>
              </w:rPr>
            </w:pPr>
            <w:r>
              <w:rPr>
                <w:rFonts w:ascii="Times New Roman" w:eastAsia="Times New Roman" w:hAnsi="Times New Roman"/>
                <w:color w:val="000000"/>
                <w:lang w:eastAsia="es-ES"/>
              </w:rPr>
              <w:t>MARÍA LUISA RODRÍGUEZ COPÉ</w:t>
            </w:r>
          </w:p>
        </w:tc>
      </w:tr>
      <w:tr w:rsidR="00D14963" w14:paraId="7B82CB2F" w14:textId="77777777">
        <w:trPr>
          <w:trHeight w:val="20"/>
        </w:trPr>
        <w:tc>
          <w:tcPr>
            <w:tcW w:w="2379" w:type="dxa"/>
            <w:tcBorders>
              <w:left w:val="single" w:sz="4" w:space="0" w:color="000000"/>
              <w:bottom w:val="single" w:sz="4" w:space="0" w:color="000000"/>
              <w:right w:val="single" w:sz="4" w:space="0" w:color="000000"/>
            </w:tcBorders>
            <w:shd w:val="clear" w:color="auto" w:fill="auto"/>
            <w:vAlign w:val="center"/>
          </w:tcPr>
          <w:p w14:paraId="35EAEC3F" w14:textId="77777777" w:rsidR="00D14963" w:rsidRDefault="00CC79B0">
            <w:pPr>
              <w:spacing w:after="0" w:line="240" w:lineRule="auto"/>
              <w:rPr>
                <w:rFonts w:ascii="Times New Roman" w:eastAsia="Times New Roman" w:hAnsi="Times New Roman"/>
                <w:color w:val="000000"/>
                <w:lang w:eastAsia="es-ES"/>
              </w:rPr>
            </w:pPr>
            <w:r>
              <w:rPr>
                <w:rFonts w:ascii="Times New Roman" w:eastAsia="Times New Roman" w:hAnsi="Times New Roman"/>
                <w:color w:val="000000"/>
                <w:lang w:eastAsia="es-ES"/>
              </w:rPr>
              <w:t>DNI/NIE/pasaporte</w:t>
            </w:r>
          </w:p>
        </w:tc>
        <w:tc>
          <w:tcPr>
            <w:tcW w:w="3872" w:type="dxa"/>
            <w:gridSpan w:val="2"/>
            <w:tcBorders>
              <w:top w:val="single" w:sz="4" w:space="0" w:color="000000"/>
              <w:bottom w:val="single" w:sz="4" w:space="0" w:color="000000"/>
              <w:right w:val="single" w:sz="4" w:space="0" w:color="000000"/>
            </w:tcBorders>
            <w:shd w:val="clear" w:color="auto" w:fill="auto"/>
            <w:vAlign w:val="center"/>
          </w:tcPr>
          <w:p w14:paraId="1076000F" w14:textId="70C7E89B" w:rsidR="00D14963" w:rsidRDefault="00D14963">
            <w:pPr>
              <w:spacing w:after="0" w:line="240" w:lineRule="auto"/>
              <w:rPr>
                <w:rFonts w:ascii="Times New Roman" w:eastAsia="Times New Roman" w:hAnsi="Times New Roman"/>
                <w:color w:val="000000"/>
                <w:lang w:eastAsia="es-ES"/>
              </w:rPr>
            </w:pPr>
          </w:p>
        </w:tc>
        <w:tc>
          <w:tcPr>
            <w:tcW w:w="851" w:type="dxa"/>
            <w:tcBorders>
              <w:bottom w:val="single" w:sz="4" w:space="0" w:color="000000"/>
              <w:right w:val="single" w:sz="4" w:space="0" w:color="000000"/>
            </w:tcBorders>
            <w:shd w:val="clear" w:color="auto" w:fill="auto"/>
            <w:vAlign w:val="center"/>
          </w:tcPr>
          <w:p w14:paraId="19ED0AC1" w14:textId="77777777" w:rsidR="00D14963" w:rsidRDefault="00CC79B0">
            <w:pPr>
              <w:spacing w:after="0" w:line="240" w:lineRule="auto"/>
              <w:rPr>
                <w:rFonts w:ascii="Times New Roman" w:eastAsia="Times New Roman" w:hAnsi="Times New Roman"/>
                <w:color w:val="000000"/>
                <w:lang w:eastAsia="es-ES"/>
              </w:rPr>
            </w:pPr>
            <w:r>
              <w:rPr>
                <w:rFonts w:ascii="Times New Roman" w:eastAsia="Times New Roman" w:hAnsi="Times New Roman"/>
                <w:color w:val="000000"/>
                <w:lang w:eastAsia="es-ES"/>
              </w:rPr>
              <w:t>Edad</w:t>
            </w:r>
          </w:p>
        </w:tc>
        <w:tc>
          <w:tcPr>
            <w:tcW w:w="1984" w:type="dxa"/>
            <w:tcBorders>
              <w:bottom w:val="single" w:sz="4" w:space="0" w:color="000000"/>
              <w:right w:val="single" w:sz="4" w:space="0" w:color="000000"/>
            </w:tcBorders>
            <w:shd w:val="clear" w:color="auto" w:fill="auto"/>
            <w:vAlign w:val="center"/>
          </w:tcPr>
          <w:p w14:paraId="35C256A5" w14:textId="6BBBCA45" w:rsidR="00D14963" w:rsidRDefault="00D14963">
            <w:pPr>
              <w:spacing w:after="0" w:line="240" w:lineRule="auto"/>
              <w:rPr>
                <w:rFonts w:ascii="Times New Roman" w:eastAsia="Times New Roman" w:hAnsi="Times New Roman"/>
                <w:color w:val="000000"/>
                <w:lang w:eastAsia="es-ES"/>
              </w:rPr>
            </w:pPr>
          </w:p>
        </w:tc>
      </w:tr>
      <w:tr w:rsidR="00D14963" w14:paraId="48E8ABCD" w14:textId="77777777">
        <w:trPr>
          <w:trHeight w:val="20"/>
        </w:trPr>
        <w:tc>
          <w:tcPr>
            <w:tcW w:w="449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3B9C2B5" w14:textId="77777777" w:rsidR="00D14963" w:rsidRDefault="00CC79B0">
            <w:pPr>
              <w:spacing w:after="0" w:line="240" w:lineRule="auto"/>
              <w:rPr>
                <w:rFonts w:ascii="Times New Roman" w:eastAsia="Times New Roman" w:hAnsi="Times New Roman"/>
                <w:color w:val="000000"/>
                <w:lang w:eastAsia="es-ES"/>
              </w:rPr>
            </w:pPr>
            <w:r>
              <w:rPr>
                <w:rFonts w:ascii="Times New Roman" w:eastAsia="Times New Roman" w:hAnsi="Times New Roman"/>
                <w:color w:val="000000"/>
                <w:lang w:eastAsia="es-ES"/>
              </w:rPr>
              <w:t>Núm. identificación del investigador</w:t>
            </w:r>
          </w:p>
          <w:p w14:paraId="686F84AD" w14:textId="5B69438A" w:rsidR="00D14963" w:rsidRDefault="00D14963">
            <w:pPr>
              <w:spacing w:after="0" w:line="240" w:lineRule="auto"/>
              <w:jc w:val="center"/>
              <w:rPr>
                <w:rFonts w:ascii="Times New Roman" w:eastAsia="Times New Roman" w:hAnsi="Times New Roman"/>
                <w:color w:val="000000"/>
                <w:lang w:eastAsia="es-ES"/>
              </w:rPr>
            </w:pPr>
          </w:p>
        </w:tc>
        <w:tc>
          <w:tcPr>
            <w:tcW w:w="1752" w:type="dxa"/>
            <w:tcBorders>
              <w:top w:val="single" w:sz="4" w:space="0" w:color="000000"/>
              <w:bottom w:val="single" w:sz="4" w:space="0" w:color="000000"/>
              <w:right w:val="single" w:sz="4" w:space="0" w:color="000000"/>
            </w:tcBorders>
            <w:shd w:val="clear" w:color="auto" w:fill="auto"/>
            <w:vAlign w:val="center"/>
          </w:tcPr>
          <w:p w14:paraId="1941C268" w14:textId="77777777" w:rsidR="00D14963" w:rsidRDefault="00CC79B0">
            <w:pPr>
              <w:spacing w:after="0" w:line="240" w:lineRule="auto"/>
              <w:rPr>
                <w:rFonts w:ascii="Times New Roman" w:eastAsia="Times New Roman" w:hAnsi="Times New Roman"/>
                <w:color w:val="000000"/>
                <w:lang w:eastAsia="es-ES"/>
              </w:rPr>
            </w:pPr>
            <w:r>
              <w:rPr>
                <w:rFonts w:ascii="Times New Roman" w:eastAsia="Times New Roman" w:hAnsi="Times New Roman"/>
                <w:color w:val="000000"/>
                <w:lang w:eastAsia="es-ES"/>
              </w:rPr>
              <w:t>Researcher ID</w:t>
            </w:r>
          </w:p>
        </w:tc>
        <w:tc>
          <w:tcPr>
            <w:tcW w:w="2835" w:type="dxa"/>
            <w:gridSpan w:val="2"/>
            <w:tcBorders>
              <w:top w:val="single" w:sz="4" w:space="0" w:color="000000"/>
              <w:bottom w:val="single" w:sz="4" w:space="0" w:color="000000"/>
              <w:right w:val="single" w:sz="4" w:space="0" w:color="000000"/>
            </w:tcBorders>
            <w:shd w:val="clear" w:color="auto" w:fill="auto"/>
            <w:vAlign w:val="center"/>
          </w:tcPr>
          <w:p w14:paraId="0ACBD64B" w14:textId="77777777" w:rsidR="00D14963" w:rsidRDefault="00CC79B0">
            <w:pPr>
              <w:spacing w:after="0" w:line="240" w:lineRule="auto"/>
              <w:rPr>
                <w:rFonts w:ascii="Times New Roman" w:eastAsia="Times New Roman" w:hAnsi="Times New Roman"/>
                <w:color w:val="000000"/>
                <w:lang w:eastAsia="es-ES"/>
              </w:rPr>
            </w:pPr>
            <w:r>
              <w:rPr>
                <w:rFonts w:ascii="Times New Roman" w:eastAsia="Times New Roman" w:hAnsi="Times New Roman"/>
                <w:color w:val="000000"/>
                <w:lang w:eastAsia="es-ES"/>
              </w:rPr>
              <w:t> </w:t>
            </w:r>
          </w:p>
        </w:tc>
      </w:tr>
      <w:tr w:rsidR="00D14963" w14:paraId="4DB69357" w14:textId="77777777">
        <w:trPr>
          <w:trHeight w:val="20"/>
        </w:trPr>
        <w:tc>
          <w:tcPr>
            <w:tcW w:w="4499" w:type="dxa"/>
            <w:gridSpan w:val="2"/>
            <w:vMerge/>
            <w:tcBorders>
              <w:top w:val="single" w:sz="4" w:space="0" w:color="000000"/>
              <w:left w:val="single" w:sz="4" w:space="0" w:color="000000"/>
              <w:bottom w:val="single" w:sz="4" w:space="0" w:color="000000"/>
              <w:right w:val="single" w:sz="4" w:space="0" w:color="000000"/>
            </w:tcBorders>
            <w:vAlign w:val="center"/>
          </w:tcPr>
          <w:p w14:paraId="2113A5ED" w14:textId="77777777" w:rsidR="00D14963" w:rsidRDefault="00D14963">
            <w:pPr>
              <w:spacing w:after="0" w:line="240" w:lineRule="auto"/>
              <w:rPr>
                <w:rFonts w:ascii="Times New Roman" w:eastAsia="Times New Roman" w:hAnsi="Times New Roman"/>
                <w:color w:val="000000"/>
                <w:lang w:eastAsia="es-ES"/>
              </w:rPr>
            </w:pPr>
          </w:p>
        </w:tc>
        <w:tc>
          <w:tcPr>
            <w:tcW w:w="1752" w:type="dxa"/>
            <w:tcBorders>
              <w:top w:val="single" w:sz="4" w:space="0" w:color="000000"/>
              <w:bottom w:val="single" w:sz="4" w:space="0" w:color="000000"/>
              <w:right w:val="single" w:sz="4" w:space="0" w:color="000000"/>
            </w:tcBorders>
            <w:shd w:val="clear" w:color="auto" w:fill="auto"/>
            <w:vAlign w:val="center"/>
          </w:tcPr>
          <w:p w14:paraId="09D12F65" w14:textId="77777777" w:rsidR="00D14963" w:rsidRDefault="00CC79B0">
            <w:pPr>
              <w:spacing w:after="0" w:line="240" w:lineRule="auto"/>
              <w:rPr>
                <w:rFonts w:ascii="Times New Roman" w:eastAsia="Times New Roman" w:hAnsi="Times New Roman"/>
                <w:color w:val="000000"/>
                <w:lang w:eastAsia="es-ES"/>
              </w:rPr>
            </w:pPr>
            <w:r>
              <w:rPr>
                <w:rFonts w:ascii="Times New Roman" w:eastAsia="Times New Roman" w:hAnsi="Times New Roman"/>
                <w:color w:val="000000"/>
                <w:lang w:eastAsia="es-ES"/>
              </w:rPr>
              <w:t>Código Orcid</w:t>
            </w:r>
          </w:p>
        </w:tc>
        <w:tc>
          <w:tcPr>
            <w:tcW w:w="2835" w:type="dxa"/>
            <w:gridSpan w:val="2"/>
            <w:tcBorders>
              <w:top w:val="single" w:sz="4" w:space="0" w:color="000000"/>
              <w:bottom w:val="single" w:sz="4" w:space="0" w:color="000000"/>
              <w:right w:val="single" w:sz="4" w:space="0" w:color="000000"/>
            </w:tcBorders>
            <w:shd w:val="clear" w:color="auto" w:fill="auto"/>
            <w:vAlign w:val="center"/>
          </w:tcPr>
          <w:p w14:paraId="3913F54E" w14:textId="77777777" w:rsidR="00D14963" w:rsidRDefault="00CC79B0">
            <w:pPr>
              <w:spacing w:after="0" w:line="240" w:lineRule="auto"/>
              <w:rPr>
                <w:rFonts w:ascii="Times New Roman" w:eastAsia="Times New Roman" w:hAnsi="Times New Roman"/>
                <w:color w:val="000000"/>
                <w:lang w:eastAsia="es-ES"/>
              </w:rPr>
            </w:pPr>
            <w:r>
              <w:rPr>
                <w:rFonts w:ascii="Times New Roman" w:eastAsia="Times New Roman" w:hAnsi="Times New Roman"/>
                <w:color w:val="000000"/>
                <w:lang w:eastAsia="es-ES"/>
              </w:rPr>
              <w:t> </w:t>
            </w:r>
            <w:hyperlink r:id="rId8" w:tgtFrame="_blank">
              <w:r>
                <w:rPr>
                  <w:rStyle w:val="textonormal"/>
                  <w:color w:val="0000FF"/>
                  <w:u w:val="single"/>
                </w:rPr>
                <w:t>0000-0002-9604-9030</w:t>
              </w:r>
            </w:hyperlink>
          </w:p>
        </w:tc>
      </w:tr>
    </w:tbl>
    <w:p w14:paraId="703F60EC" w14:textId="77777777" w:rsidR="00D14963" w:rsidRDefault="00D14963">
      <w:pPr>
        <w:spacing w:after="0" w:line="240" w:lineRule="auto"/>
        <w:rPr>
          <w:rFonts w:ascii="Times New Roman" w:hAnsi="Times New Roman"/>
          <w:b/>
        </w:rPr>
      </w:pPr>
    </w:p>
    <w:p w14:paraId="4A76224A" w14:textId="77777777" w:rsidR="00D14963" w:rsidRDefault="00CC79B0">
      <w:pPr>
        <w:spacing w:after="0" w:line="240" w:lineRule="auto"/>
        <w:rPr>
          <w:rFonts w:ascii="Times New Roman" w:hAnsi="Times New Roman"/>
        </w:rPr>
      </w:pPr>
      <w:r>
        <w:rPr>
          <w:rFonts w:ascii="Times New Roman" w:hAnsi="Times New Roman"/>
          <w:b/>
        </w:rPr>
        <w:t>A.1. Situación profesional actual</w:t>
      </w:r>
    </w:p>
    <w:tbl>
      <w:tblPr>
        <w:tblW w:w="9087" w:type="dxa"/>
        <w:tblInd w:w="55" w:type="dxa"/>
        <w:tblCellMar>
          <w:left w:w="70" w:type="dxa"/>
          <w:right w:w="70" w:type="dxa"/>
        </w:tblCellMar>
        <w:tblLook w:val="04A0" w:firstRow="1" w:lastRow="0" w:firstColumn="1" w:lastColumn="0" w:noHBand="0" w:noVBand="1"/>
      </w:tblPr>
      <w:tblGrid>
        <w:gridCol w:w="2387"/>
        <w:gridCol w:w="1507"/>
        <w:gridCol w:w="1934"/>
        <w:gridCol w:w="348"/>
        <w:gridCol w:w="1480"/>
        <w:gridCol w:w="1431"/>
      </w:tblGrid>
      <w:tr w:rsidR="00D14963" w14:paraId="133D2A40" w14:textId="77777777">
        <w:trPr>
          <w:trHeight w:val="20"/>
        </w:trPr>
        <w:tc>
          <w:tcPr>
            <w:tcW w:w="23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0E41BB" w14:textId="77777777" w:rsidR="00D14963" w:rsidRDefault="00CC79B0">
            <w:pPr>
              <w:spacing w:after="0" w:line="240" w:lineRule="auto"/>
              <w:rPr>
                <w:rFonts w:ascii="Times New Roman" w:eastAsia="Times New Roman" w:hAnsi="Times New Roman"/>
                <w:color w:val="000000"/>
                <w:lang w:eastAsia="es-ES"/>
              </w:rPr>
            </w:pPr>
            <w:r>
              <w:rPr>
                <w:rFonts w:ascii="Times New Roman" w:eastAsia="Times New Roman" w:hAnsi="Times New Roman"/>
                <w:color w:val="000000"/>
                <w:lang w:eastAsia="es-ES"/>
              </w:rPr>
              <w:t>Organismo</w:t>
            </w:r>
          </w:p>
        </w:tc>
        <w:tc>
          <w:tcPr>
            <w:tcW w:w="6700" w:type="dxa"/>
            <w:gridSpan w:val="5"/>
            <w:tcBorders>
              <w:top w:val="single" w:sz="4" w:space="0" w:color="000000"/>
              <w:bottom w:val="single" w:sz="4" w:space="0" w:color="000000"/>
              <w:right w:val="single" w:sz="4" w:space="0" w:color="000000"/>
            </w:tcBorders>
            <w:shd w:val="clear" w:color="auto" w:fill="auto"/>
            <w:vAlign w:val="center"/>
          </w:tcPr>
          <w:p w14:paraId="0AFC7C67" w14:textId="77777777" w:rsidR="00D14963" w:rsidRDefault="00CC79B0">
            <w:pPr>
              <w:spacing w:after="0" w:line="240" w:lineRule="auto"/>
              <w:jc w:val="center"/>
              <w:rPr>
                <w:rFonts w:ascii="Times New Roman" w:eastAsia="Times New Roman" w:hAnsi="Times New Roman"/>
                <w:color w:val="000000"/>
                <w:lang w:eastAsia="es-ES"/>
              </w:rPr>
            </w:pPr>
            <w:r>
              <w:rPr>
                <w:rFonts w:ascii="Times New Roman" w:eastAsia="Times New Roman" w:hAnsi="Times New Roman"/>
                <w:color w:val="000000"/>
                <w:lang w:eastAsia="es-ES"/>
              </w:rPr>
              <w:t>UNIVERSIDAD DE CÓRDOBA </w:t>
            </w:r>
          </w:p>
        </w:tc>
      </w:tr>
      <w:tr w:rsidR="00D14963" w14:paraId="1945A181" w14:textId="77777777">
        <w:trPr>
          <w:trHeight w:val="20"/>
        </w:trPr>
        <w:tc>
          <w:tcPr>
            <w:tcW w:w="2386" w:type="dxa"/>
            <w:tcBorders>
              <w:left w:val="single" w:sz="4" w:space="0" w:color="000000"/>
              <w:bottom w:val="single" w:sz="4" w:space="0" w:color="000000"/>
              <w:right w:val="single" w:sz="4" w:space="0" w:color="000000"/>
            </w:tcBorders>
            <w:shd w:val="clear" w:color="auto" w:fill="auto"/>
            <w:vAlign w:val="center"/>
          </w:tcPr>
          <w:p w14:paraId="2C8AA0E2" w14:textId="77777777" w:rsidR="00D14963" w:rsidRDefault="00CC79B0">
            <w:pPr>
              <w:spacing w:after="0" w:line="240" w:lineRule="auto"/>
              <w:rPr>
                <w:rFonts w:ascii="Times New Roman" w:eastAsia="Times New Roman" w:hAnsi="Times New Roman"/>
                <w:color w:val="000000"/>
                <w:lang w:eastAsia="es-ES"/>
              </w:rPr>
            </w:pPr>
            <w:r>
              <w:rPr>
                <w:rFonts w:ascii="Times New Roman" w:eastAsia="Times New Roman" w:hAnsi="Times New Roman"/>
                <w:color w:val="000000"/>
                <w:lang w:eastAsia="es-ES"/>
              </w:rPr>
              <w:t>Dpto./Centro</w:t>
            </w:r>
          </w:p>
        </w:tc>
        <w:tc>
          <w:tcPr>
            <w:tcW w:w="6700" w:type="dxa"/>
            <w:gridSpan w:val="5"/>
            <w:tcBorders>
              <w:top w:val="single" w:sz="4" w:space="0" w:color="000000"/>
              <w:bottom w:val="single" w:sz="4" w:space="0" w:color="000000"/>
              <w:right w:val="single" w:sz="4" w:space="0" w:color="000000"/>
            </w:tcBorders>
            <w:shd w:val="clear" w:color="auto" w:fill="auto"/>
            <w:vAlign w:val="center"/>
          </w:tcPr>
          <w:p w14:paraId="5D4ACA74" w14:textId="77777777" w:rsidR="00D14963" w:rsidRDefault="00CC79B0">
            <w:pPr>
              <w:spacing w:after="0" w:line="240" w:lineRule="auto"/>
              <w:rPr>
                <w:rFonts w:ascii="Times New Roman" w:eastAsia="Times New Roman" w:hAnsi="Times New Roman"/>
                <w:color w:val="000000"/>
                <w:lang w:eastAsia="es-ES"/>
              </w:rPr>
            </w:pPr>
            <w:r>
              <w:rPr>
                <w:rFonts w:ascii="Times New Roman" w:eastAsia="Times New Roman" w:hAnsi="Times New Roman"/>
                <w:color w:val="000000"/>
                <w:lang w:eastAsia="es-ES"/>
              </w:rPr>
              <w:t xml:space="preserve"> Dpto. DERECHO TRABAJO Y SS./FACULTAD DEL CIENCIAS DEL TRABAJO</w:t>
            </w:r>
          </w:p>
        </w:tc>
      </w:tr>
      <w:tr w:rsidR="00D14963" w14:paraId="4CD92308" w14:textId="77777777">
        <w:trPr>
          <w:trHeight w:val="20"/>
        </w:trPr>
        <w:tc>
          <w:tcPr>
            <w:tcW w:w="2386" w:type="dxa"/>
            <w:tcBorders>
              <w:left w:val="single" w:sz="4" w:space="0" w:color="000000"/>
              <w:bottom w:val="single" w:sz="4" w:space="0" w:color="000000"/>
              <w:right w:val="single" w:sz="4" w:space="0" w:color="000000"/>
            </w:tcBorders>
            <w:shd w:val="clear" w:color="auto" w:fill="auto"/>
            <w:vAlign w:val="center"/>
          </w:tcPr>
          <w:p w14:paraId="1F5191C8" w14:textId="77777777" w:rsidR="00D14963" w:rsidRDefault="00CC79B0">
            <w:pPr>
              <w:spacing w:after="0" w:line="240" w:lineRule="auto"/>
              <w:rPr>
                <w:rFonts w:ascii="Times New Roman" w:eastAsia="Times New Roman" w:hAnsi="Times New Roman"/>
                <w:color w:val="000000"/>
                <w:lang w:eastAsia="es-ES"/>
              </w:rPr>
            </w:pPr>
            <w:r>
              <w:rPr>
                <w:rFonts w:ascii="Times New Roman" w:eastAsia="Times New Roman" w:hAnsi="Times New Roman"/>
                <w:color w:val="000000"/>
                <w:lang w:eastAsia="es-ES"/>
              </w:rPr>
              <w:t>Dirección</w:t>
            </w:r>
          </w:p>
        </w:tc>
        <w:tc>
          <w:tcPr>
            <w:tcW w:w="6700" w:type="dxa"/>
            <w:gridSpan w:val="5"/>
            <w:tcBorders>
              <w:top w:val="single" w:sz="4" w:space="0" w:color="000000"/>
              <w:bottom w:val="single" w:sz="4" w:space="0" w:color="000000"/>
              <w:right w:val="single" w:sz="4" w:space="0" w:color="000000"/>
            </w:tcBorders>
            <w:shd w:val="clear" w:color="auto" w:fill="auto"/>
            <w:vAlign w:val="center"/>
          </w:tcPr>
          <w:p w14:paraId="175256D0" w14:textId="42E7FC1E" w:rsidR="00D14963" w:rsidRDefault="00D14963">
            <w:pPr>
              <w:spacing w:after="0" w:line="240" w:lineRule="auto"/>
              <w:jc w:val="center"/>
              <w:rPr>
                <w:rFonts w:ascii="Times New Roman" w:eastAsia="Times New Roman" w:hAnsi="Times New Roman"/>
                <w:color w:val="000000"/>
                <w:lang w:eastAsia="es-ES"/>
              </w:rPr>
            </w:pPr>
          </w:p>
        </w:tc>
      </w:tr>
      <w:tr w:rsidR="00D14963" w14:paraId="5A7017C7" w14:textId="77777777">
        <w:trPr>
          <w:trHeight w:val="20"/>
        </w:trPr>
        <w:tc>
          <w:tcPr>
            <w:tcW w:w="2386" w:type="dxa"/>
            <w:tcBorders>
              <w:left w:val="single" w:sz="4" w:space="0" w:color="000000"/>
              <w:bottom w:val="single" w:sz="4" w:space="0" w:color="000000"/>
              <w:right w:val="single" w:sz="4" w:space="0" w:color="000000"/>
            </w:tcBorders>
            <w:shd w:val="clear" w:color="auto" w:fill="auto"/>
            <w:vAlign w:val="center"/>
          </w:tcPr>
          <w:p w14:paraId="4121CFF5" w14:textId="77777777" w:rsidR="00D14963" w:rsidRDefault="00CC79B0">
            <w:pPr>
              <w:spacing w:after="0" w:line="240" w:lineRule="auto"/>
              <w:rPr>
                <w:rFonts w:ascii="Times New Roman" w:eastAsia="Times New Roman" w:hAnsi="Times New Roman"/>
                <w:color w:val="000000"/>
                <w:lang w:eastAsia="es-ES"/>
              </w:rPr>
            </w:pPr>
            <w:r>
              <w:rPr>
                <w:rFonts w:ascii="Times New Roman" w:eastAsia="Times New Roman" w:hAnsi="Times New Roman"/>
                <w:color w:val="000000"/>
                <w:lang w:eastAsia="es-ES"/>
              </w:rPr>
              <w:t>Teléfono</w:t>
            </w:r>
          </w:p>
        </w:tc>
        <w:tc>
          <w:tcPr>
            <w:tcW w:w="1507" w:type="dxa"/>
            <w:tcBorders>
              <w:bottom w:val="single" w:sz="4" w:space="0" w:color="000000"/>
              <w:right w:val="single" w:sz="4" w:space="0" w:color="000000"/>
            </w:tcBorders>
            <w:shd w:val="clear" w:color="auto" w:fill="auto"/>
            <w:vAlign w:val="center"/>
          </w:tcPr>
          <w:p w14:paraId="4933D2FA" w14:textId="1092CEE4" w:rsidR="00D14963" w:rsidRDefault="00CC79B0" w:rsidP="005F5E82">
            <w:pPr>
              <w:spacing w:after="0" w:line="240" w:lineRule="auto"/>
              <w:rPr>
                <w:rFonts w:ascii="Times New Roman" w:eastAsia="Times New Roman" w:hAnsi="Times New Roman"/>
                <w:color w:val="000000"/>
                <w:lang w:eastAsia="es-ES"/>
              </w:rPr>
            </w:pPr>
            <w:r>
              <w:rPr>
                <w:rFonts w:ascii="Times New Roman" w:eastAsia="Times New Roman" w:hAnsi="Times New Roman"/>
                <w:color w:val="000000"/>
                <w:lang w:eastAsia="es-ES"/>
              </w:rPr>
              <w:t> </w:t>
            </w:r>
          </w:p>
        </w:tc>
        <w:tc>
          <w:tcPr>
            <w:tcW w:w="1934" w:type="dxa"/>
            <w:tcBorders>
              <w:bottom w:val="single" w:sz="4" w:space="0" w:color="000000"/>
              <w:right w:val="single" w:sz="4" w:space="0" w:color="000000"/>
            </w:tcBorders>
            <w:shd w:val="clear" w:color="auto" w:fill="auto"/>
            <w:vAlign w:val="center"/>
          </w:tcPr>
          <w:p w14:paraId="6431AD04" w14:textId="77777777" w:rsidR="00D14963" w:rsidRDefault="00CC79B0">
            <w:pPr>
              <w:spacing w:after="0" w:line="240" w:lineRule="auto"/>
              <w:rPr>
                <w:rFonts w:ascii="Times New Roman" w:eastAsia="Times New Roman" w:hAnsi="Times New Roman"/>
                <w:color w:val="000000"/>
                <w:lang w:eastAsia="es-ES"/>
              </w:rPr>
            </w:pPr>
            <w:r>
              <w:rPr>
                <w:rFonts w:ascii="Times New Roman" w:eastAsia="Times New Roman" w:hAnsi="Times New Roman"/>
                <w:color w:val="000000"/>
                <w:lang w:eastAsia="es-ES"/>
              </w:rPr>
              <w:t>correo electrónico</w:t>
            </w:r>
          </w:p>
        </w:tc>
        <w:tc>
          <w:tcPr>
            <w:tcW w:w="3259" w:type="dxa"/>
            <w:gridSpan w:val="3"/>
            <w:tcBorders>
              <w:top w:val="single" w:sz="4" w:space="0" w:color="000000"/>
              <w:bottom w:val="single" w:sz="4" w:space="0" w:color="000000"/>
              <w:right w:val="single" w:sz="4" w:space="0" w:color="000000"/>
            </w:tcBorders>
            <w:shd w:val="clear" w:color="auto" w:fill="auto"/>
            <w:vAlign w:val="center"/>
          </w:tcPr>
          <w:p w14:paraId="60C75761" w14:textId="77777777" w:rsidR="00D14963" w:rsidRDefault="00CC79B0">
            <w:pPr>
              <w:spacing w:after="0" w:line="240" w:lineRule="auto"/>
              <w:rPr>
                <w:rFonts w:ascii="Times New Roman" w:eastAsia="Times New Roman" w:hAnsi="Times New Roman"/>
                <w:color w:val="0000FF"/>
                <w:u w:val="single"/>
                <w:lang w:eastAsia="es-ES"/>
              </w:rPr>
            </w:pPr>
            <w:r>
              <w:rPr>
                <w:rFonts w:ascii="Times New Roman" w:eastAsia="Times New Roman" w:hAnsi="Times New Roman"/>
                <w:color w:val="0000FF"/>
                <w:u w:val="single"/>
                <w:lang w:eastAsia="es-ES"/>
              </w:rPr>
              <w:t>dt1rocom@uco.es</w:t>
            </w:r>
          </w:p>
        </w:tc>
      </w:tr>
      <w:tr w:rsidR="00D14963" w14:paraId="1C3C826F" w14:textId="77777777">
        <w:trPr>
          <w:trHeight w:val="20"/>
        </w:trPr>
        <w:tc>
          <w:tcPr>
            <w:tcW w:w="2386" w:type="dxa"/>
            <w:tcBorders>
              <w:left w:val="single" w:sz="4" w:space="0" w:color="000000"/>
              <w:bottom w:val="single" w:sz="4" w:space="0" w:color="000000"/>
              <w:right w:val="single" w:sz="4" w:space="0" w:color="000000"/>
            </w:tcBorders>
            <w:shd w:val="clear" w:color="auto" w:fill="auto"/>
            <w:vAlign w:val="center"/>
          </w:tcPr>
          <w:p w14:paraId="194D0A95" w14:textId="77777777" w:rsidR="00D14963" w:rsidRDefault="00CC79B0">
            <w:pPr>
              <w:spacing w:after="0" w:line="240" w:lineRule="auto"/>
              <w:rPr>
                <w:rFonts w:ascii="Times New Roman" w:eastAsia="Times New Roman" w:hAnsi="Times New Roman"/>
                <w:color w:val="000000"/>
                <w:lang w:eastAsia="es-ES"/>
              </w:rPr>
            </w:pPr>
            <w:r>
              <w:rPr>
                <w:rFonts w:ascii="Times New Roman" w:eastAsia="Times New Roman" w:hAnsi="Times New Roman"/>
                <w:color w:val="000000"/>
                <w:lang w:eastAsia="es-ES"/>
              </w:rPr>
              <w:t>Categoría profesional</w:t>
            </w:r>
          </w:p>
        </w:tc>
        <w:tc>
          <w:tcPr>
            <w:tcW w:w="3789" w:type="dxa"/>
            <w:gridSpan w:val="3"/>
            <w:tcBorders>
              <w:top w:val="single" w:sz="4" w:space="0" w:color="000000"/>
              <w:bottom w:val="single" w:sz="4" w:space="0" w:color="000000"/>
              <w:right w:val="single" w:sz="4" w:space="0" w:color="000000"/>
            </w:tcBorders>
            <w:shd w:val="clear" w:color="auto" w:fill="auto"/>
            <w:vAlign w:val="center"/>
          </w:tcPr>
          <w:p w14:paraId="3B9BAF13" w14:textId="77777777" w:rsidR="00D14963" w:rsidRDefault="00CC79B0">
            <w:pPr>
              <w:spacing w:after="0" w:line="240" w:lineRule="auto"/>
              <w:jc w:val="center"/>
              <w:rPr>
                <w:rFonts w:ascii="Times New Roman" w:eastAsia="Times New Roman" w:hAnsi="Times New Roman"/>
                <w:color w:val="000000"/>
                <w:lang w:eastAsia="es-ES"/>
              </w:rPr>
            </w:pPr>
            <w:r>
              <w:rPr>
                <w:rFonts w:ascii="Times New Roman" w:eastAsia="Times New Roman" w:hAnsi="Times New Roman"/>
                <w:color w:val="000000"/>
                <w:lang w:eastAsia="es-ES"/>
              </w:rPr>
              <w:t>TU </w:t>
            </w:r>
          </w:p>
        </w:tc>
        <w:tc>
          <w:tcPr>
            <w:tcW w:w="1480" w:type="dxa"/>
            <w:tcBorders>
              <w:bottom w:val="single" w:sz="4" w:space="0" w:color="000000"/>
              <w:right w:val="single" w:sz="4" w:space="0" w:color="000000"/>
            </w:tcBorders>
            <w:shd w:val="clear" w:color="auto" w:fill="auto"/>
            <w:vAlign w:val="center"/>
          </w:tcPr>
          <w:p w14:paraId="5E98478A" w14:textId="77777777" w:rsidR="00D14963" w:rsidRDefault="00CC79B0">
            <w:pPr>
              <w:spacing w:after="0" w:line="240" w:lineRule="auto"/>
              <w:rPr>
                <w:rFonts w:ascii="Times New Roman" w:eastAsia="Times New Roman" w:hAnsi="Times New Roman"/>
                <w:color w:val="000000"/>
                <w:lang w:eastAsia="es-ES"/>
              </w:rPr>
            </w:pPr>
            <w:r>
              <w:rPr>
                <w:rFonts w:ascii="Times New Roman" w:eastAsia="Times New Roman" w:hAnsi="Times New Roman"/>
                <w:color w:val="000000"/>
                <w:lang w:eastAsia="es-ES"/>
              </w:rPr>
              <w:t>Fecha inicio</w:t>
            </w:r>
          </w:p>
        </w:tc>
        <w:tc>
          <w:tcPr>
            <w:tcW w:w="1431" w:type="dxa"/>
            <w:tcBorders>
              <w:bottom w:val="single" w:sz="4" w:space="0" w:color="000000"/>
              <w:right w:val="single" w:sz="4" w:space="0" w:color="000000"/>
            </w:tcBorders>
            <w:shd w:val="clear" w:color="auto" w:fill="auto"/>
            <w:vAlign w:val="center"/>
          </w:tcPr>
          <w:p w14:paraId="12FD5898" w14:textId="77777777" w:rsidR="00D14963" w:rsidRDefault="00CC79B0">
            <w:pPr>
              <w:spacing w:after="0" w:line="240" w:lineRule="auto"/>
              <w:rPr>
                <w:rFonts w:ascii="Times New Roman" w:eastAsia="Times New Roman" w:hAnsi="Times New Roman"/>
                <w:color w:val="000000"/>
                <w:lang w:eastAsia="es-ES"/>
              </w:rPr>
            </w:pPr>
            <w:r>
              <w:rPr>
                <w:rFonts w:ascii="Times New Roman" w:eastAsia="Times New Roman" w:hAnsi="Times New Roman"/>
                <w:color w:val="000000"/>
                <w:lang w:eastAsia="es-ES"/>
              </w:rPr>
              <w:t>2012</w:t>
            </w:r>
          </w:p>
        </w:tc>
      </w:tr>
      <w:tr w:rsidR="00D14963" w14:paraId="324653A9" w14:textId="77777777">
        <w:trPr>
          <w:trHeight w:val="20"/>
        </w:trPr>
        <w:tc>
          <w:tcPr>
            <w:tcW w:w="2386" w:type="dxa"/>
            <w:tcBorders>
              <w:left w:val="single" w:sz="4" w:space="0" w:color="000000"/>
              <w:bottom w:val="single" w:sz="4" w:space="0" w:color="000000"/>
              <w:right w:val="single" w:sz="4" w:space="0" w:color="000000"/>
            </w:tcBorders>
            <w:shd w:val="clear" w:color="auto" w:fill="auto"/>
            <w:vAlign w:val="center"/>
          </w:tcPr>
          <w:p w14:paraId="58648D2D" w14:textId="77777777" w:rsidR="00D14963" w:rsidRDefault="00CC79B0">
            <w:pPr>
              <w:spacing w:after="0" w:line="240" w:lineRule="auto"/>
              <w:rPr>
                <w:rFonts w:ascii="Times New Roman" w:eastAsia="Times New Roman" w:hAnsi="Times New Roman"/>
                <w:color w:val="000000"/>
                <w:lang w:eastAsia="es-ES"/>
              </w:rPr>
            </w:pPr>
            <w:r>
              <w:rPr>
                <w:rFonts w:ascii="Times New Roman" w:eastAsia="Times New Roman" w:hAnsi="Times New Roman"/>
                <w:color w:val="000000"/>
                <w:lang w:eastAsia="es-ES"/>
              </w:rPr>
              <w:t>Espec. cód. UNESCO</w:t>
            </w:r>
          </w:p>
        </w:tc>
        <w:tc>
          <w:tcPr>
            <w:tcW w:w="6700" w:type="dxa"/>
            <w:gridSpan w:val="5"/>
            <w:tcBorders>
              <w:top w:val="single" w:sz="4" w:space="0" w:color="000000"/>
              <w:bottom w:val="single" w:sz="4" w:space="0" w:color="000000"/>
              <w:right w:val="single" w:sz="4" w:space="0" w:color="000000"/>
            </w:tcBorders>
            <w:shd w:val="clear" w:color="auto" w:fill="auto"/>
            <w:vAlign w:val="center"/>
          </w:tcPr>
          <w:p w14:paraId="2488E1AC" w14:textId="735EFE68" w:rsidR="00D14963" w:rsidRDefault="00E47F08">
            <w:pPr>
              <w:spacing w:after="0" w:line="240" w:lineRule="auto"/>
              <w:jc w:val="center"/>
              <w:rPr>
                <w:rFonts w:ascii="Times New Roman" w:eastAsia="Times New Roman" w:hAnsi="Times New Roman"/>
                <w:color w:val="000000"/>
                <w:lang w:eastAsia="es-ES"/>
              </w:rPr>
            </w:pPr>
            <w:r>
              <w:rPr>
                <w:rFonts w:ascii="Times New Roman" w:eastAsia="Times New Roman" w:hAnsi="Times New Roman"/>
                <w:color w:val="000000"/>
                <w:lang w:eastAsia="es-ES"/>
              </w:rPr>
              <w:t>5699</w:t>
            </w:r>
            <w:r w:rsidR="00CC79B0">
              <w:rPr>
                <w:rFonts w:ascii="Times New Roman" w:eastAsia="Times New Roman" w:hAnsi="Times New Roman"/>
                <w:color w:val="000000"/>
                <w:lang w:eastAsia="es-ES"/>
              </w:rPr>
              <w:t> </w:t>
            </w:r>
            <w:r w:rsidR="00C33A19">
              <w:rPr>
                <w:rFonts w:ascii="Times New Roman" w:eastAsia="Times New Roman" w:hAnsi="Times New Roman"/>
                <w:color w:val="000000"/>
                <w:lang w:eastAsia="es-ES"/>
              </w:rPr>
              <w:t>(Derecho del Trabajo y de la Seguridad Social)</w:t>
            </w:r>
          </w:p>
        </w:tc>
        <w:bookmarkStart w:id="0" w:name="_GoBack"/>
        <w:bookmarkEnd w:id="0"/>
      </w:tr>
      <w:tr w:rsidR="00D14963" w14:paraId="706A7C10" w14:textId="77777777">
        <w:trPr>
          <w:trHeight w:val="20"/>
        </w:trPr>
        <w:tc>
          <w:tcPr>
            <w:tcW w:w="2386" w:type="dxa"/>
            <w:tcBorders>
              <w:left w:val="single" w:sz="4" w:space="0" w:color="000000"/>
              <w:bottom w:val="single" w:sz="4" w:space="0" w:color="000000"/>
              <w:right w:val="single" w:sz="4" w:space="0" w:color="000000"/>
            </w:tcBorders>
            <w:shd w:val="clear" w:color="auto" w:fill="auto"/>
            <w:vAlign w:val="center"/>
          </w:tcPr>
          <w:p w14:paraId="4F043B82" w14:textId="77777777" w:rsidR="00D14963" w:rsidRDefault="00CC79B0">
            <w:pPr>
              <w:spacing w:after="0" w:line="240" w:lineRule="auto"/>
              <w:rPr>
                <w:rFonts w:ascii="Times New Roman" w:eastAsia="Times New Roman" w:hAnsi="Times New Roman"/>
                <w:color w:val="000000"/>
                <w:lang w:eastAsia="es-ES"/>
              </w:rPr>
            </w:pPr>
            <w:r>
              <w:rPr>
                <w:rFonts w:ascii="Times New Roman" w:eastAsia="Times New Roman" w:hAnsi="Times New Roman"/>
                <w:color w:val="000000"/>
                <w:lang w:eastAsia="es-ES"/>
              </w:rPr>
              <w:t>Palabras clave</w:t>
            </w:r>
          </w:p>
        </w:tc>
        <w:tc>
          <w:tcPr>
            <w:tcW w:w="6700" w:type="dxa"/>
            <w:gridSpan w:val="5"/>
            <w:tcBorders>
              <w:top w:val="single" w:sz="4" w:space="0" w:color="000000"/>
              <w:bottom w:val="single" w:sz="4" w:space="0" w:color="000000"/>
              <w:right w:val="single" w:sz="4" w:space="0" w:color="000000"/>
            </w:tcBorders>
            <w:shd w:val="clear" w:color="auto" w:fill="auto"/>
            <w:vAlign w:val="center"/>
          </w:tcPr>
          <w:p w14:paraId="706BBE25" w14:textId="2F15E6C7" w:rsidR="00D14963" w:rsidRDefault="00861271">
            <w:pPr>
              <w:spacing w:after="0" w:line="240" w:lineRule="auto"/>
              <w:jc w:val="center"/>
              <w:rPr>
                <w:rFonts w:ascii="Times New Roman" w:eastAsia="Times New Roman" w:hAnsi="Times New Roman"/>
                <w:color w:val="000000"/>
                <w:lang w:eastAsia="es-ES"/>
              </w:rPr>
            </w:pPr>
            <w:r>
              <w:rPr>
                <w:rFonts w:ascii="Times New Roman" w:eastAsia="Times New Roman" w:hAnsi="Times New Roman"/>
                <w:color w:val="000000"/>
                <w:lang w:eastAsia="es-ES"/>
              </w:rPr>
              <w:t>Interrupciones relación de trabajo/Conciliación familiar y laboral/Inmigración económica/ Políticas de empleo</w:t>
            </w:r>
            <w:r w:rsidR="00CC79B0">
              <w:rPr>
                <w:rFonts w:ascii="Times New Roman" w:eastAsia="Times New Roman" w:hAnsi="Times New Roman"/>
                <w:color w:val="000000"/>
                <w:lang w:eastAsia="es-ES"/>
              </w:rPr>
              <w:t> </w:t>
            </w:r>
          </w:p>
        </w:tc>
      </w:tr>
    </w:tbl>
    <w:p w14:paraId="40265DEF" w14:textId="77777777" w:rsidR="00D14963" w:rsidRDefault="00D14963">
      <w:pPr>
        <w:spacing w:after="0" w:line="240" w:lineRule="auto"/>
        <w:rPr>
          <w:rFonts w:ascii="Times New Roman" w:hAnsi="Times New Roman"/>
        </w:rPr>
      </w:pPr>
    </w:p>
    <w:p w14:paraId="1AEE77DD" w14:textId="77777777" w:rsidR="00D14963" w:rsidRDefault="00CC79B0">
      <w:pPr>
        <w:spacing w:after="0" w:line="240" w:lineRule="auto"/>
        <w:rPr>
          <w:rFonts w:ascii="Times New Roman" w:hAnsi="Times New Roman"/>
          <w:i/>
        </w:rPr>
      </w:pPr>
      <w:r>
        <w:rPr>
          <w:rFonts w:ascii="Times New Roman" w:hAnsi="Times New Roman"/>
          <w:b/>
        </w:rPr>
        <w:t xml:space="preserve">A.2.Formación académica </w:t>
      </w:r>
      <w:r>
        <w:rPr>
          <w:rFonts w:ascii="Times New Roman" w:hAnsi="Times New Roman"/>
          <w:i/>
        </w:rPr>
        <w:t>(título, institución, fecha)</w:t>
      </w:r>
    </w:p>
    <w:tbl>
      <w:tblPr>
        <w:tblW w:w="9087" w:type="dxa"/>
        <w:tblInd w:w="55" w:type="dxa"/>
        <w:tblCellMar>
          <w:left w:w="70" w:type="dxa"/>
          <w:right w:w="70" w:type="dxa"/>
        </w:tblCellMar>
        <w:tblLook w:val="04A0" w:firstRow="1" w:lastRow="0" w:firstColumn="1" w:lastColumn="0" w:noHBand="0" w:noVBand="1"/>
      </w:tblPr>
      <w:tblGrid>
        <w:gridCol w:w="3134"/>
        <w:gridCol w:w="4678"/>
        <w:gridCol w:w="1275"/>
      </w:tblGrid>
      <w:tr w:rsidR="00D14963" w14:paraId="3AF93F27" w14:textId="77777777">
        <w:trPr>
          <w:trHeight w:val="20"/>
        </w:trPr>
        <w:tc>
          <w:tcPr>
            <w:tcW w:w="3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790B30" w14:textId="77777777" w:rsidR="00D14963" w:rsidRDefault="00CC79B0">
            <w:pPr>
              <w:spacing w:after="0" w:line="240" w:lineRule="auto"/>
              <w:jc w:val="center"/>
              <w:rPr>
                <w:rFonts w:ascii="Times New Roman" w:eastAsia="Times New Roman" w:hAnsi="Times New Roman"/>
                <w:color w:val="000000"/>
                <w:lang w:eastAsia="es-ES"/>
              </w:rPr>
            </w:pPr>
            <w:r>
              <w:rPr>
                <w:rFonts w:ascii="Times New Roman" w:eastAsia="Times New Roman" w:hAnsi="Times New Roman"/>
                <w:color w:val="000000"/>
                <w:lang w:eastAsia="es-ES"/>
              </w:rPr>
              <w:t>Licenciatura/Grado/Doctorado</w:t>
            </w:r>
          </w:p>
        </w:tc>
        <w:tc>
          <w:tcPr>
            <w:tcW w:w="4678" w:type="dxa"/>
            <w:tcBorders>
              <w:top w:val="single" w:sz="4" w:space="0" w:color="000000"/>
              <w:bottom w:val="single" w:sz="4" w:space="0" w:color="000000"/>
              <w:right w:val="single" w:sz="4" w:space="0" w:color="000000"/>
            </w:tcBorders>
            <w:shd w:val="clear" w:color="auto" w:fill="auto"/>
            <w:vAlign w:val="center"/>
          </w:tcPr>
          <w:p w14:paraId="43AF093A" w14:textId="77777777" w:rsidR="00D14963" w:rsidRDefault="00CC79B0">
            <w:pPr>
              <w:spacing w:after="0" w:line="240" w:lineRule="auto"/>
              <w:jc w:val="center"/>
              <w:rPr>
                <w:rFonts w:ascii="Times New Roman" w:eastAsia="Times New Roman" w:hAnsi="Times New Roman"/>
                <w:color w:val="000000"/>
                <w:lang w:eastAsia="es-ES"/>
              </w:rPr>
            </w:pPr>
            <w:r>
              <w:rPr>
                <w:rFonts w:ascii="Times New Roman" w:eastAsia="Times New Roman" w:hAnsi="Times New Roman"/>
                <w:color w:val="000000"/>
                <w:lang w:eastAsia="es-ES"/>
              </w:rPr>
              <w:t>Universidad</w:t>
            </w:r>
          </w:p>
        </w:tc>
        <w:tc>
          <w:tcPr>
            <w:tcW w:w="1275" w:type="dxa"/>
            <w:tcBorders>
              <w:top w:val="single" w:sz="4" w:space="0" w:color="000000"/>
              <w:bottom w:val="single" w:sz="4" w:space="0" w:color="000000"/>
              <w:right w:val="single" w:sz="4" w:space="0" w:color="000000"/>
            </w:tcBorders>
            <w:shd w:val="clear" w:color="auto" w:fill="auto"/>
            <w:vAlign w:val="center"/>
          </w:tcPr>
          <w:p w14:paraId="2D01D947" w14:textId="77777777" w:rsidR="00D14963" w:rsidRDefault="00CC79B0">
            <w:pPr>
              <w:spacing w:after="0" w:line="240" w:lineRule="auto"/>
              <w:jc w:val="center"/>
              <w:rPr>
                <w:rFonts w:ascii="Times New Roman" w:eastAsia="Times New Roman" w:hAnsi="Times New Roman"/>
                <w:color w:val="000000"/>
                <w:lang w:eastAsia="es-ES"/>
              </w:rPr>
            </w:pPr>
            <w:r>
              <w:rPr>
                <w:rFonts w:ascii="Times New Roman" w:eastAsia="Times New Roman" w:hAnsi="Times New Roman"/>
                <w:color w:val="000000"/>
                <w:lang w:eastAsia="es-ES"/>
              </w:rPr>
              <w:t>Año</w:t>
            </w:r>
          </w:p>
        </w:tc>
      </w:tr>
      <w:tr w:rsidR="00D14963" w14:paraId="30053705" w14:textId="77777777">
        <w:trPr>
          <w:trHeight w:val="20"/>
        </w:trPr>
        <w:tc>
          <w:tcPr>
            <w:tcW w:w="3134" w:type="dxa"/>
            <w:tcBorders>
              <w:left w:val="single" w:sz="4" w:space="0" w:color="000000"/>
              <w:bottom w:val="single" w:sz="4" w:space="0" w:color="000000"/>
              <w:right w:val="single" w:sz="4" w:space="0" w:color="000000"/>
            </w:tcBorders>
            <w:shd w:val="clear" w:color="auto" w:fill="auto"/>
            <w:vAlign w:val="center"/>
          </w:tcPr>
          <w:p w14:paraId="06F88427" w14:textId="77777777" w:rsidR="00D14963" w:rsidRDefault="00CC79B0">
            <w:pPr>
              <w:spacing w:after="0" w:line="240" w:lineRule="auto"/>
              <w:rPr>
                <w:rFonts w:ascii="Times New Roman" w:eastAsia="Times New Roman" w:hAnsi="Times New Roman"/>
                <w:color w:val="000000"/>
                <w:lang w:eastAsia="es-ES"/>
              </w:rPr>
            </w:pPr>
            <w:r>
              <w:rPr>
                <w:rFonts w:ascii="Times New Roman" w:eastAsia="Times New Roman" w:hAnsi="Times New Roman"/>
                <w:color w:val="000000"/>
                <w:lang w:eastAsia="es-ES"/>
              </w:rPr>
              <w:t>LICENCIATURA EN DERECHO</w:t>
            </w:r>
          </w:p>
        </w:tc>
        <w:tc>
          <w:tcPr>
            <w:tcW w:w="4678" w:type="dxa"/>
            <w:tcBorders>
              <w:bottom w:val="single" w:sz="4" w:space="0" w:color="000000"/>
              <w:right w:val="single" w:sz="4" w:space="0" w:color="000000"/>
            </w:tcBorders>
            <w:shd w:val="clear" w:color="auto" w:fill="auto"/>
            <w:vAlign w:val="center"/>
          </w:tcPr>
          <w:p w14:paraId="06F27C80" w14:textId="77777777" w:rsidR="00D14963" w:rsidRDefault="00CC79B0">
            <w:pPr>
              <w:spacing w:after="0" w:line="240" w:lineRule="auto"/>
              <w:rPr>
                <w:rFonts w:ascii="Times New Roman" w:eastAsia="Times New Roman" w:hAnsi="Times New Roman"/>
                <w:color w:val="000000"/>
                <w:lang w:eastAsia="es-ES"/>
              </w:rPr>
            </w:pPr>
            <w:r>
              <w:rPr>
                <w:rFonts w:ascii="Times New Roman" w:eastAsia="Times New Roman" w:hAnsi="Times New Roman"/>
                <w:color w:val="000000"/>
                <w:lang w:eastAsia="es-ES"/>
              </w:rPr>
              <w:t>UNIVERSIDAD DE SEVILLA</w:t>
            </w:r>
          </w:p>
        </w:tc>
        <w:tc>
          <w:tcPr>
            <w:tcW w:w="1275" w:type="dxa"/>
            <w:tcBorders>
              <w:bottom w:val="single" w:sz="4" w:space="0" w:color="000000"/>
              <w:right w:val="single" w:sz="4" w:space="0" w:color="000000"/>
            </w:tcBorders>
            <w:shd w:val="clear" w:color="auto" w:fill="auto"/>
            <w:vAlign w:val="center"/>
          </w:tcPr>
          <w:p w14:paraId="1F9EF40C" w14:textId="77777777" w:rsidR="00D14963" w:rsidRDefault="00CC79B0">
            <w:pPr>
              <w:spacing w:after="0" w:line="240" w:lineRule="auto"/>
              <w:jc w:val="center"/>
              <w:rPr>
                <w:rFonts w:ascii="Times New Roman" w:eastAsia="Times New Roman" w:hAnsi="Times New Roman"/>
                <w:color w:val="000000"/>
                <w:lang w:eastAsia="es-ES"/>
              </w:rPr>
            </w:pPr>
            <w:r>
              <w:rPr>
                <w:rFonts w:ascii="Times New Roman" w:eastAsia="Times New Roman" w:hAnsi="Times New Roman"/>
                <w:color w:val="000000"/>
                <w:lang w:eastAsia="es-ES"/>
              </w:rPr>
              <w:t>1992 </w:t>
            </w:r>
          </w:p>
        </w:tc>
      </w:tr>
      <w:tr w:rsidR="00D14963" w14:paraId="7C8908DE" w14:textId="77777777">
        <w:trPr>
          <w:trHeight w:val="20"/>
        </w:trPr>
        <w:tc>
          <w:tcPr>
            <w:tcW w:w="3134" w:type="dxa"/>
            <w:tcBorders>
              <w:left w:val="single" w:sz="4" w:space="0" w:color="000000"/>
              <w:bottom w:val="single" w:sz="4" w:space="0" w:color="000000"/>
              <w:right w:val="single" w:sz="4" w:space="0" w:color="000000"/>
            </w:tcBorders>
            <w:shd w:val="clear" w:color="auto" w:fill="auto"/>
            <w:vAlign w:val="center"/>
          </w:tcPr>
          <w:p w14:paraId="531C794E" w14:textId="77777777" w:rsidR="00D14963" w:rsidRDefault="00CC79B0">
            <w:pPr>
              <w:spacing w:after="0" w:line="240" w:lineRule="auto"/>
              <w:rPr>
                <w:rFonts w:ascii="Times New Roman" w:eastAsia="Times New Roman" w:hAnsi="Times New Roman"/>
                <w:color w:val="000000"/>
                <w:lang w:eastAsia="es-ES"/>
              </w:rPr>
            </w:pPr>
            <w:r>
              <w:rPr>
                <w:rFonts w:ascii="Times New Roman" w:eastAsia="Times New Roman" w:hAnsi="Times New Roman"/>
                <w:color w:val="000000"/>
                <w:lang w:eastAsia="es-ES"/>
              </w:rPr>
              <w:t> DOCTORA EN DERECHO</w:t>
            </w:r>
          </w:p>
        </w:tc>
        <w:tc>
          <w:tcPr>
            <w:tcW w:w="4678" w:type="dxa"/>
            <w:tcBorders>
              <w:bottom w:val="single" w:sz="4" w:space="0" w:color="000000"/>
              <w:right w:val="single" w:sz="4" w:space="0" w:color="000000"/>
            </w:tcBorders>
            <w:shd w:val="clear" w:color="auto" w:fill="auto"/>
            <w:vAlign w:val="center"/>
          </w:tcPr>
          <w:p w14:paraId="066691E9" w14:textId="77777777" w:rsidR="00D14963" w:rsidRDefault="00CC79B0">
            <w:pPr>
              <w:spacing w:after="0" w:line="240" w:lineRule="auto"/>
              <w:rPr>
                <w:rFonts w:ascii="Times New Roman" w:eastAsia="Times New Roman" w:hAnsi="Times New Roman"/>
                <w:color w:val="000000"/>
                <w:lang w:eastAsia="es-ES"/>
              </w:rPr>
            </w:pPr>
            <w:r>
              <w:rPr>
                <w:rFonts w:ascii="Times New Roman" w:eastAsia="Times New Roman" w:hAnsi="Times New Roman"/>
                <w:color w:val="000000"/>
                <w:lang w:eastAsia="es-ES"/>
              </w:rPr>
              <w:t> UNIVERSIDAD DE CÓRDOBA</w:t>
            </w:r>
          </w:p>
        </w:tc>
        <w:tc>
          <w:tcPr>
            <w:tcW w:w="1275" w:type="dxa"/>
            <w:tcBorders>
              <w:bottom w:val="single" w:sz="4" w:space="0" w:color="000000"/>
              <w:right w:val="single" w:sz="4" w:space="0" w:color="000000"/>
            </w:tcBorders>
            <w:shd w:val="clear" w:color="auto" w:fill="auto"/>
            <w:vAlign w:val="center"/>
          </w:tcPr>
          <w:p w14:paraId="27F852B1" w14:textId="77777777" w:rsidR="00D14963" w:rsidRDefault="00CC79B0">
            <w:pPr>
              <w:spacing w:after="0" w:line="240" w:lineRule="auto"/>
              <w:jc w:val="center"/>
              <w:rPr>
                <w:rFonts w:ascii="Times New Roman" w:eastAsia="Times New Roman" w:hAnsi="Times New Roman"/>
                <w:color w:val="000000"/>
                <w:lang w:eastAsia="es-ES"/>
              </w:rPr>
            </w:pPr>
            <w:r>
              <w:rPr>
                <w:rFonts w:ascii="Times New Roman" w:eastAsia="Times New Roman" w:hAnsi="Times New Roman"/>
                <w:color w:val="000000"/>
                <w:lang w:eastAsia="es-ES"/>
              </w:rPr>
              <w:t>2001 </w:t>
            </w:r>
          </w:p>
        </w:tc>
      </w:tr>
    </w:tbl>
    <w:p w14:paraId="3026322C" w14:textId="77777777" w:rsidR="00D14963" w:rsidRDefault="00D14963">
      <w:pPr>
        <w:spacing w:after="0" w:line="240" w:lineRule="auto"/>
        <w:rPr>
          <w:rFonts w:ascii="Times New Roman" w:hAnsi="Times New Roman"/>
          <w:b/>
        </w:rPr>
      </w:pPr>
    </w:p>
    <w:p w14:paraId="445F8FD6" w14:textId="77777777" w:rsidR="00D14963" w:rsidRDefault="00CC79B0">
      <w:pPr>
        <w:spacing w:after="0" w:line="240" w:lineRule="auto"/>
        <w:jc w:val="both"/>
        <w:rPr>
          <w:rFonts w:ascii="Times New Roman" w:hAnsi="Times New Roman"/>
          <w:b/>
        </w:rPr>
      </w:pPr>
      <w:r>
        <w:rPr>
          <w:rFonts w:ascii="Times New Roman" w:hAnsi="Times New Roman"/>
          <w:b/>
        </w:rPr>
        <w:t xml:space="preserve">A.3. Indicadores generales de calidad de la producción científica </w:t>
      </w:r>
    </w:p>
    <w:p w14:paraId="211DD405" w14:textId="77777777" w:rsidR="00D14963" w:rsidRDefault="00D14963">
      <w:pPr>
        <w:spacing w:line="360" w:lineRule="auto"/>
        <w:rPr>
          <w:rFonts w:ascii="Times New Roman" w:hAnsi="Times New Roman"/>
          <w:b/>
          <w:color w:val="000000"/>
          <w:sz w:val="24"/>
          <w:szCs w:val="24"/>
          <w:u w:val="single"/>
        </w:rPr>
      </w:pPr>
    </w:p>
    <w:p w14:paraId="105B7E0A" w14:textId="77777777" w:rsidR="00D14963" w:rsidRDefault="00CC79B0">
      <w:pPr>
        <w:spacing w:line="360" w:lineRule="auto"/>
        <w:rPr>
          <w:rFonts w:ascii="Times New Roman" w:hAnsi="Times New Roman"/>
          <w:color w:val="000000"/>
          <w:sz w:val="24"/>
          <w:szCs w:val="24"/>
          <w:u w:val="single"/>
        </w:rPr>
      </w:pPr>
      <w:r>
        <w:rPr>
          <w:rFonts w:ascii="Times New Roman" w:hAnsi="Times New Roman"/>
          <w:color w:val="000000"/>
          <w:sz w:val="24"/>
          <w:szCs w:val="24"/>
          <w:u w:val="single"/>
        </w:rPr>
        <w:t>- Número de sexenios - año de concesión del último.</w:t>
      </w:r>
    </w:p>
    <w:p w14:paraId="20FEFE48" w14:textId="6648EE63" w:rsidR="00D14963" w:rsidRDefault="00E47F08">
      <w:pPr>
        <w:spacing w:line="360" w:lineRule="auto"/>
        <w:rPr>
          <w:rFonts w:ascii="Times New Roman" w:hAnsi="Times New Roman"/>
          <w:sz w:val="24"/>
          <w:szCs w:val="24"/>
        </w:rPr>
      </w:pPr>
      <w:r>
        <w:rPr>
          <w:rFonts w:ascii="Times New Roman" w:hAnsi="Times New Roman"/>
          <w:sz w:val="24"/>
          <w:szCs w:val="24"/>
        </w:rPr>
        <w:t>2</w:t>
      </w:r>
      <w:r w:rsidR="00CC79B0">
        <w:rPr>
          <w:rFonts w:ascii="Times New Roman" w:hAnsi="Times New Roman"/>
          <w:sz w:val="24"/>
          <w:szCs w:val="24"/>
        </w:rPr>
        <w:t xml:space="preserve"> sexenio</w:t>
      </w:r>
      <w:r>
        <w:rPr>
          <w:rFonts w:ascii="Times New Roman" w:hAnsi="Times New Roman"/>
          <w:sz w:val="24"/>
          <w:szCs w:val="24"/>
        </w:rPr>
        <w:t xml:space="preserve">s- </w:t>
      </w:r>
      <w:r w:rsidR="00CC79B0">
        <w:rPr>
          <w:rFonts w:ascii="Times New Roman" w:hAnsi="Times New Roman"/>
          <w:sz w:val="24"/>
          <w:szCs w:val="24"/>
        </w:rPr>
        <w:t>Fecha de concesión</w:t>
      </w:r>
      <w:r>
        <w:rPr>
          <w:rFonts w:ascii="Times New Roman" w:hAnsi="Times New Roman"/>
          <w:sz w:val="24"/>
          <w:szCs w:val="24"/>
        </w:rPr>
        <w:t xml:space="preserve"> del último</w:t>
      </w:r>
      <w:r w:rsidR="00CC79B0">
        <w:rPr>
          <w:rFonts w:ascii="Times New Roman" w:hAnsi="Times New Roman"/>
          <w:sz w:val="24"/>
          <w:szCs w:val="24"/>
        </w:rPr>
        <w:t>: 20</w:t>
      </w:r>
      <w:r>
        <w:rPr>
          <w:rFonts w:ascii="Times New Roman" w:hAnsi="Times New Roman"/>
          <w:sz w:val="24"/>
          <w:szCs w:val="24"/>
        </w:rPr>
        <w:t>20</w:t>
      </w:r>
    </w:p>
    <w:p w14:paraId="716DCFEB" w14:textId="77777777" w:rsidR="00D14963" w:rsidRDefault="00D14963">
      <w:pPr>
        <w:spacing w:after="0" w:line="240" w:lineRule="auto"/>
        <w:jc w:val="both"/>
        <w:rPr>
          <w:rFonts w:ascii="Arial" w:hAnsi="Arial" w:cs="Arial"/>
          <w:b/>
        </w:rPr>
      </w:pPr>
    </w:p>
    <w:p w14:paraId="1CCE5A51" w14:textId="77777777" w:rsidR="00D14963" w:rsidRDefault="00D14963">
      <w:pPr>
        <w:spacing w:after="0" w:line="240" w:lineRule="auto"/>
        <w:jc w:val="both"/>
        <w:rPr>
          <w:rFonts w:ascii="Arial" w:hAnsi="Arial" w:cs="Arial"/>
          <w:b/>
        </w:rPr>
      </w:pPr>
    </w:p>
    <w:p w14:paraId="336B974A" w14:textId="77777777" w:rsidR="00D14963" w:rsidRDefault="00CC79B0">
      <w:pPr>
        <w:spacing w:after="0" w:line="240" w:lineRule="auto"/>
        <w:jc w:val="both"/>
        <w:rPr>
          <w:rFonts w:ascii="Arial" w:hAnsi="Arial" w:cs="Arial"/>
          <w:b/>
        </w:rPr>
      </w:pPr>
      <w:r>
        <w:rPr>
          <w:rFonts w:ascii="Arial" w:hAnsi="Arial" w:cs="Arial"/>
          <w:b/>
        </w:rPr>
        <w:t>Parte B. RESUMEN LIBRE DELCURRÍCULUM</w:t>
      </w:r>
    </w:p>
    <w:p w14:paraId="4197BEC2" w14:textId="77777777" w:rsidR="00D14963" w:rsidRDefault="00D14963">
      <w:pPr>
        <w:spacing w:after="0" w:line="240" w:lineRule="auto"/>
        <w:jc w:val="both"/>
        <w:rPr>
          <w:rFonts w:ascii="Arial" w:hAnsi="Arial" w:cs="Arial"/>
          <w:b/>
        </w:rPr>
      </w:pPr>
    </w:p>
    <w:p w14:paraId="757E0040" w14:textId="77777777" w:rsidR="00D14963" w:rsidRDefault="00CC79B0">
      <w:pPr>
        <w:spacing w:after="0" w:line="240" w:lineRule="auto"/>
        <w:ind w:firstLine="708"/>
        <w:jc w:val="both"/>
        <w:rPr>
          <w:rFonts w:ascii="Times New Roman" w:hAnsi="Times New Roman"/>
          <w:sz w:val="24"/>
          <w:szCs w:val="24"/>
          <w:lang w:eastAsia="es-ES"/>
        </w:rPr>
      </w:pPr>
      <w:r>
        <w:rPr>
          <w:rFonts w:ascii="Times New Roman" w:hAnsi="Times New Roman"/>
          <w:sz w:val="24"/>
          <w:szCs w:val="24"/>
          <w:lang w:eastAsia="es-ES"/>
        </w:rPr>
        <w:t xml:space="preserve">Tras la obtención de mi licenciatura en Derecho por la Universidad de Sevilla, realicé </w:t>
      </w:r>
      <w:r>
        <w:rPr>
          <w:rFonts w:ascii="Calisto MT" w:hAnsi="Calisto MT"/>
        </w:rPr>
        <w:t>los Cursos de Doctorado ofertados por el Área de Derecho del Trabajo y de la Seguridad Social del Departamento de Disciplinas Histórico-jurídicas y Económico-sociales de la Universidad de Córdoba, con la temática “La reforma laboral: balance y perspectivas”</w:t>
      </w:r>
      <w:r>
        <w:rPr>
          <w:rFonts w:ascii="Times New Roman" w:hAnsi="Times New Roman"/>
          <w:sz w:val="24"/>
          <w:szCs w:val="24"/>
          <w:lang w:eastAsia="es-ES"/>
        </w:rPr>
        <w:t xml:space="preserve">, obteniendo el premio extraordinario de Licenciatura (1997/1998) de la Facultad de Derecho por el estudio titulado </w:t>
      </w:r>
      <w:r>
        <w:rPr>
          <w:rFonts w:ascii="Times New Roman" w:hAnsi="Times New Roman"/>
          <w:i/>
          <w:sz w:val="24"/>
          <w:szCs w:val="24"/>
          <w:lang w:eastAsia="es-ES"/>
        </w:rPr>
        <w:t>“La extinción del contrato de alta dirección”.</w:t>
      </w:r>
      <w:r>
        <w:rPr>
          <w:rFonts w:ascii="Times New Roman" w:hAnsi="Times New Roman"/>
          <w:sz w:val="24"/>
          <w:szCs w:val="24"/>
          <w:lang w:eastAsia="es-ES"/>
        </w:rPr>
        <w:t xml:space="preserve">  En octubre de 2001, defendí mi tesis doctoral, </w:t>
      </w:r>
      <w:r>
        <w:rPr>
          <w:rFonts w:ascii="Calisto MT" w:hAnsi="Calisto MT"/>
        </w:rPr>
        <w:t>dirigida por el profesor F. DURÁN LÓPEZ,</w:t>
      </w:r>
      <w:r>
        <w:rPr>
          <w:rFonts w:ascii="Times New Roman" w:hAnsi="Times New Roman"/>
          <w:sz w:val="24"/>
          <w:szCs w:val="24"/>
          <w:lang w:eastAsia="es-ES"/>
        </w:rPr>
        <w:t xml:space="preserve"> </w:t>
      </w:r>
      <w:r>
        <w:rPr>
          <w:rFonts w:ascii="Calisto MT" w:hAnsi="Calisto MT"/>
        </w:rPr>
        <w:t>bajo el título “</w:t>
      </w:r>
      <w:r>
        <w:rPr>
          <w:rFonts w:ascii="Calisto MT" w:hAnsi="Calisto MT"/>
          <w:i/>
        </w:rPr>
        <w:t>La institución suspensiva en el Derecho contractual laboral”</w:t>
      </w:r>
      <w:r>
        <w:rPr>
          <w:rFonts w:ascii="Calisto MT" w:hAnsi="Calisto MT"/>
        </w:rPr>
        <w:t xml:space="preserve">, obteniendo la calificación de Sobresaliente cum laude por unanimidad. </w:t>
      </w:r>
      <w:r>
        <w:rPr>
          <w:rFonts w:ascii="Times New Roman" w:hAnsi="Times New Roman"/>
          <w:sz w:val="24"/>
          <w:szCs w:val="24"/>
          <w:lang w:eastAsia="es-ES"/>
        </w:rPr>
        <w:t>A partir de entonces, he publicado con regularidad en revistas especializadas de amplia difusión académica y profesional y obtenido reconocimiento por mis trabajos.</w:t>
      </w:r>
    </w:p>
    <w:p w14:paraId="7DDC870A" w14:textId="77777777" w:rsidR="00D14963" w:rsidRDefault="00D14963">
      <w:pPr>
        <w:spacing w:after="0" w:line="240" w:lineRule="auto"/>
        <w:jc w:val="both"/>
        <w:rPr>
          <w:rFonts w:ascii="Times New Roman" w:hAnsi="Times New Roman"/>
          <w:sz w:val="24"/>
          <w:szCs w:val="24"/>
          <w:lang w:eastAsia="es-ES"/>
        </w:rPr>
      </w:pPr>
    </w:p>
    <w:p w14:paraId="10358B23" w14:textId="08A0004A" w:rsidR="00D14963" w:rsidRDefault="00CC79B0">
      <w:pPr>
        <w:spacing w:after="0" w:line="240" w:lineRule="auto"/>
        <w:ind w:firstLine="708"/>
        <w:jc w:val="both"/>
        <w:rPr>
          <w:rFonts w:ascii="Times New Roman" w:hAnsi="Times New Roman"/>
          <w:sz w:val="24"/>
          <w:szCs w:val="24"/>
          <w:lang w:eastAsia="es-ES"/>
        </w:rPr>
      </w:pPr>
      <w:r>
        <w:rPr>
          <w:rFonts w:ascii="Times New Roman" w:hAnsi="Times New Roman"/>
          <w:sz w:val="24"/>
          <w:szCs w:val="24"/>
          <w:lang w:eastAsia="es-ES"/>
        </w:rPr>
        <w:t>En lo que a mis líneas de investigación se refiere, he trabajado durante estos años en el análisis normativo y jurisprudencial de instituciones jurídicas como la suspensión del contrato de trabajo, las excedencias laborales, la evolución y tratamiento jurídico de la conciliación de la vida laboral y familiar, el acoso moral en el trabajo, el acceso al mercado laboral de los inmigrantes extracomunitarios y la política de empleo en relación a grupos específicos. Dichas investigaciones han dado lugar a</w:t>
      </w:r>
      <w:r w:rsidR="00E47F08">
        <w:rPr>
          <w:rFonts w:ascii="Times New Roman" w:hAnsi="Times New Roman"/>
          <w:sz w:val="24"/>
          <w:szCs w:val="24"/>
          <w:lang w:eastAsia="es-ES"/>
        </w:rPr>
        <w:t xml:space="preserve"> numerosos</w:t>
      </w:r>
      <w:r>
        <w:rPr>
          <w:rFonts w:ascii="Times New Roman" w:hAnsi="Times New Roman"/>
          <w:sz w:val="24"/>
          <w:szCs w:val="24"/>
          <w:lang w:eastAsia="es-ES"/>
        </w:rPr>
        <w:t xml:space="preserve"> </w:t>
      </w:r>
      <w:r w:rsidR="00E47F08">
        <w:rPr>
          <w:rFonts w:ascii="Times New Roman" w:hAnsi="Times New Roman"/>
          <w:sz w:val="24"/>
          <w:szCs w:val="24"/>
          <w:lang w:eastAsia="es-ES"/>
        </w:rPr>
        <w:t xml:space="preserve">estudios </w:t>
      </w:r>
      <w:r>
        <w:rPr>
          <w:rFonts w:ascii="Times New Roman" w:hAnsi="Times New Roman"/>
          <w:sz w:val="24"/>
          <w:szCs w:val="24"/>
          <w:lang w:eastAsia="es-ES"/>
        </w:rPr>
        <w:t xml:space="preserve">que se encuentran publicados en revistas indexadas con índice de calidad relativo, que cumplen un elevado número de criterios </w:t>
      </w:r>
      <w:r>
        <w:rPr>
          <w:rFonts w:ascii="Times New Roman" w:hAnsi="Times New Roman"/>
          <w:sz w:val="24"/>
          <w:szCs w:val="24"/>
          <w:lang w:eastAsia="es-ES"/>
        </w:rPr>
        <w:lastRenderedPageBreak/>
        <w:t>Latindex y que aparecen como las mejores posicionadas dentro de su especialidad. He publicado, además, 2 monografías (</w:t>
      </w:r>
      <w:r>
        <w:rPr>
          <w:rFonts w:ascii="Times New Roman" w:hAnsi="Times New Roman"/>
          <w:i/>
          <w:sz w:val="24"/>
          <w:szCs w:val="24"/>
          <w:lang w:eastAsia="es-ES"/>
        </w:rPr>
        <w:t>La suspensión del contrato de trabajo</w:t>
      </w:r>
      <w:r>
        <w:rPr>
          <w:rFonts w:ascii="Times New Roman" w:hAnsi="Times New Roman"/>
          <w:sz w:val="24"/>
          <w:szCs w:val="24"/>
          <w:lang w:eastAsia="es-ES"/>
        </w:rPr>
        <w:t xml:space="preserve">, 2004, fruto de mi tesis doctoral y </w:t>
      </w:r>
      <w:r>
        <w:rPr>
          <w:rFonts w:ascii="Times New Roman" w:hAnsi="Times New Roman"/>
          <w:i/>
          <w:sz w:val="24"/>
          <w:szCs w:val="24"/>
          <w:lang w:eastAsia="es-ES"/>
        </w:rPr>
        <w:t>El acceso al mercado de trabajo español de los inmigrantes extracomunitarios</w:t>
      </w:r>
      <w:r>
        <w:rPr>
          <w:rFonts w:ascii="Times New Roman" w:hAnsi="Times New Roman"/>
          <w:sz w:val="24"/>
          <w:szCs w:val="24"/>
          <w:lang w:eastAsia="es-ES"/>
        </w:rPr>
        <w:t xml:space="preserve">, 2008) y una tercera, en coautoría, </w:t>
      </w:r>
      <w:r>
        <w:rPr>
          <w:rFonts w:ascii="Times New Roman" w:hAnsi="Times New Roman"/>
          <w:i/>
          <w:sz w:val="24"/>
          <w:szCs w:val="24"/>
          <w:lang w:eastAsia="es-ES"/>
        </w:rPr>
        <w:t>Nuevos empleos para las mujeres de Córdoba</w:t>
      </w:r>
      <w:r>
        <w:rPr>
          <w:rFonts w:ascii="Times New Roman" w:hAnsi="Times New Roman"/>
          <w:sz w:val="24"/>
          <w:szCs w:val="24"/>
          <w:lang w:eastAsia="es-ES"/>
        </w:rPr>
        <w:t xml:space="preserve">, 2007) y 8 capítulos de libros. </w:t>
      </w:r>
    </w:p>
    <w:p w14:paraId="712784F8" w14:textId="77777777" w:rsidR="00D14963" w:rsidRDefault="00D14963">
      <w:pPr>
        <w:spacing w:after="0" w:line="240" w:lineRule="auto"/>
        <w:jc w:val="both"/>
        <w:rPr>
          <w:rFonts w:ascii="Times New Roman" w:hAnsi="Times New Roman"/>
          <w:sz w:val="24"/>
          <w:szCs w:val="24"/>
          <w:lang w:eastAsia="es-ES"/>
        </w:rPr>
      </w:pPr>
    </w:p>
    <w:p w14:paraId="14251455" w14:textId="77777777" w:rsidR="00D14963" w:rsidRDefault="00CC79B0">
      <w:pPr>
        <w:spacing w:after="0" w:line="240" w:lineRule="auto"/>
        <w:ind w:firstLine="708"/>
        <w:jc w:val="both"/>
        <w:rPr>
          <w:rFonts w:ascii="Times New Roman" w:hAnsi="Times New Roman"/>
          <w:sz w:val="24"/>
          <w:szCs w:val="24"/>
          <w:lang w:eastAsia="es-ES"/>
        </w:rPr>
      </w:pPr>
      <w:r>
        <w:rPr>
          <w:rFonts w:ascii="Calisto MT" w:hAnsi="Calisto MT"/>
        </w:rPr>
        <w:t xml:space="preserve">Me gustaría destacar mi actividad investigadora en la parcela relativa a la inmigración laboral. Desde 2004 he participado como investigadora colaboradora en tres proyectos de investigación apoyados por la Junta de Andalucía, a través de la D.G. de coordinación de políticas migratorias. </w:t>
      </w:r>
      <w:r>
        <w:rPr>
          <w:rFonts w:ascii="Times New Roman" w:hAnsi="Times New Roman"/>
          <w:sz w:val="24"/>
          <w:szCs w:val="24"/>
        </w:rPr>
        <w:t>Con la intención de difundir las investigaciones realizadas en este ámbito del Derecho,  he organizado, junto a la profesora Blázquez Rodríguez (área de Derecho Internacional Privado de esta Universidad) varios encuentros científicos, entre los que destacan el Simposio internacional sobre “</w:t>
      </w:r>
      <w:r>
        <w:rPr>
          <w:rFonts w:ascii="Times New Roman" w:hAnsi="Times New Roman"/>
          <w:i/>
          <w:sz w:val="24"/>
          <w:szCs w:val="24"/>
        </w:rPr>
        <w:t>Migraciones internacionales en el Mediterráneo y la UE: un reto</w:t>
      </w:r>
      <w:r>
        <w:rPr>
          <w:rFonts w:ascii="Times New Roman" w:hAnsi="Times New Roman"/>
          <w:sz w:val="24"/>
          <w:szCs w:val="24"/>
        </w:rPr>
        <w:t xml:space="preserve">” (noviembre, 2008), el </w:t>
      </w:r>
      <w:r>
        <w:rPr>
          <w:rFonts w:ascii="Times New Roman" w:hAnsi="Times New Roman"/>
          <w:i/>
          <w:sz w:val="24"/>
          <w:szCs w:val="24"/>
        </w:rPr>
        <w:t>Congreso sobre Comunidades Autónomas e Inmigración</w:t>
      </w:r>
      <w:r>
        <w:rPr>
          <w:rFonts w:ascii="Times New Roman" w:hAnsi="Times New Roman"/>
          <w:sz w:val="24"/>
          <w:szCs w:val="24"/>
        </w:rPr>
        <w:t xml:space="preserve"> (noviembre 2007) o el </w:t>
      </w:r>
      <w:r>
        <w:rPr>
          <w:rFonts w:ascii="Times New Roman" w:hAnsi="Times New Roman"/>
          <w:i/>
          <w:sz w:val="24"/>
          <w:szCs w:val="24"/>
        </w:rPr>
        <w:t>Seminario internacional sobre movimientos migratorios y mercado de trabajo</w:t>
      </w:r>
      <w:r>
        <w:rPr>
          <w:rFonts w:ascii="Times New Roman" w:hAnsi="Times New Roman"/>
          <w:sz w:val="24"/>
          <w:szCs w:val="24"/>
        </w:rPr>
        <w:t xml:space="preserve"> (noviembre, 2006), todos ellos financiados por la D.G. de coordinación de políticas migratorias de la Junta de Andalucía. Junto con la dirección académica de estos encuentros, he participado como miembro del comité científico y organizador en otros eventos científicos</w:t>
      </w:r>
      <w:r>
        <w:rPr>
          <w:rFonts w:ascii="Times New Roman" w:hAnsi="Times New Roman"/>
          <w:sz w:val="24"/>
          <w:szCs w:val="24"/>
          <w:lang w:eastAsia="es-ES"/>
        </w:rPr>
        <w:t>.</w:t>
      </w:r>
    </w:p>
    <w:p w14:paraId="6D89CCA1" w14:textId="77777777" w:rsidR="00D14963" w:rsidRDefault="00D14963">
      <w:pPr>
        <w:spacing w:after="0" w:line="240" w:lineRule="auto"/>
        <w:ind w:firstLine="708"/>
        <w:jc w:val="both"/>
        <w:rPr>
          <w:rFonts w:ascii="Times New Roman" w:hAnsi="Times New Roman"/>
          <w:sz w:val="24"/>
          <w:szCs w:val="24"/>
          <w:lang w:eastAsia="es-ES"/>
        </w:rPr>
      </w:pPr>
    </w:p>
    <w:p w14:paraId="5A7C2ED4" w14:textId="77777777" w:rsidR="00D14963" w:rsidRDefault="00CC79B0">
      <w:pPr>
        <w:spacing w:after="0" w:line="240" w:lineRule="auto"/>
        <w:ind w:firstLine="708"/>
        <w:jc w:val="both"/>
        <w:rPr>
          <w:rFonts w:ascii="Times New Roman" w:hAnsi="Times New Roman"/>
          <w:sz w:val="24"/>
          <w:szCs w:val="24"/>
          <w:lang w:eastAsia="es-ES"/>
        </w:rPr>
      </w:pPr>
      <w:r>
        <w:rPr>
          <w:rFonts w:ascii="Times New Roman" w:hAnsi="Times New Roman"/>
          <w:sz w:val="24"/>
          <w:szCs w:val="24"/>
          <w:lang w:eastAsia="es-ES"/>
        </w:rPr>
        <w:t>He intervenido en Congresos, Jornadas y Seminarios nacionales e internacionales. He participado como relatora, comunicante, ponente, formando parte del comité científico y organizador o como directora académica en más de 15 eventos. He participado, además, en programas organizados por la Administración Pública para la formación de su personal y  he formado parte de 8 proyectos de investigación, todos ellos otorgados mediante convocatoria pública competitiva.</w:t>
      </w:r>
    </w:p>
    <w:p w14:paraId="691D5C0C" w14:textId="77777777" w:rsidR="00D14963" w:rsidRDefault="00D14963">
      <w:pPr>
        <w:spacing w:after="0" w:line="360" w:lineRule="auto"/>
        <w:jc w:val="both"/>
        <w:rPr>
          <w:rFonts w:ascii="Times New Roman" w:hAnsi="Times New Roman"/>
          <w:sz w:val="24"/>
          <w:szCs w:val="24"/>
          <w:lang w:eastAsia="es-ES"/>
        </w:rPr>
      </w:pPr>
    </w:p>
    <w:p w14:paraId="26611AD1" w14:textId="77777777" w:rsidR="00D14963" w:rsidRDefault="00D14963">
      <w:pPr>
        <w:spacing w:after="0" w:line="240" w:lineRule="auto"/>
        <w:jc w:val="both"/>
        <w:rPr>
          <w:rFonts w:ascii="Arial" w:hAnsi="Arial" w:cs="Arial"/>
          <w:b/>
        </w:rPr>
      </w:pPr>
    </w:p>
    <w:p w14:paraId="764E9153" w14:textId="77777777" w:rsidR="00D14963" w:rsidRDefault="00CC79B0">
      <w:pPr>
        <w:spacing w:after="0" w:line="240" w:lineRule="auto"/>
        <w:jc w:val="both"/>
        <w:rPr>
          <w:rFonts w:ascii="Arial" w:hAnsi="Arial" w:cs="Arial"/>
          <w:b/>
          <w:i/>
          <w:color w:val="A6A6A6"/>
        </w:rPr>
      </w:pPr>
      <w:r>
        <w:rPr>
          <w:rFonts w:ascii="Arial" w:hAnsi="Arial" w:cs="Arial"/>
          <w:b/>
        </w:rPr>
        <w:t>Parte C. MÉRITOS MÁS RELEVANTES</w:t>
      </w:r>
    </w:p>
    <w:p w14:paraId="3F2A0F58" w14:textId="77777777" w:rsidR="00D14963" w:rsidRDefault="00D14963">
      <w:pPr>
        <w:spacing w:after="0" w:line="240" w:lineRule="auto"/>
        <w:ind w:firstLine="708"/>
        <w:jc w:val="both"/>
        <w:rPr>
          <w:rFonts w:ascii="Arial" w:eastAsia="Times New Roman" w:hAnsi="Arial" w:cs="Arial"/>
          <w:b/>
          <w:color w:val="000000"/>
          <w:lang w:val="es-ES_tradnl" w:eastAsia="es-ES"/>
        </w:rPr>
      </w:pPr>
    </w:p>
    <w:tbl>
      <w:tblPr>
        <w:tblW w:w="9160" w:type="dxa"/>
        <w:tblCellMar>
          <w:top w:w="15" w:type="dxa"/>
          <w:left w:w="15" w:type="dxa"/>
          <w:bottom w:w="15" w:type="dxa"/>
          <w:right w:w="15" w:type="dxa"/>
        </w:tblCellMar>
        <w:tblLook w:val="0000" w:firstRow="0" w:lastRow="0" w:firstColumn="0" w:lastColumn="0" w:noHBand="0" w:noVBand="0"/>
      </w:tblPr>
      <w:tblGrid>
        <w:gridCol w:w="9116"/>
        <w:gridCol w:w="44"/>
      </w:tblGrid>
      <w:tr w:rsidR="00D14963" w14:paraId="26076EC5" w14:textId="77777777">
        <w:tc>
          <w:tcPr>
            <w:tcW w:w="9159" w:type="dxa"/>
            <w:gridSpan w:val="2"/>
            <w:shd w:val="clear" w:color="auto" w:fill="auto"/>
            <w:vAlign w:val="center"/>
          </w:tcPr>
          <w:p w14:paraId="4B9B75EA" w14:textId="77777777" w:rsidR="00D14963" w:rsidRDefault="00CC79B0">
            <w:pPr>
              <w:ind w:left="720"/>
              <w:jc w:val="both"/>
              <w:rPr>
                <w:rFonts w:ascii="Times New Roman" w:hAnsi="Times New Roman"/>
              </w:rPr>
            </w:pPr>
            <w:r>
              <w:rPr>
                <w:rFonts w:ascii="Arial" w:eastAsia="Times New Roman" w:hAnsi="Arial" w:cs="Arial"/>
                <w:b/>
                <w:color w:val="000000"/>
                <w:lang w:val="es-ES_tradnl" w:eastAsia="es-ES"/>
              </w:rPr>
              <w:t>C.1. Publicaciones</w:t>
            </w:r>
          </w:p>
        </w:tc>
      </w:tr>
      <w:tr w:rsidR="00D14963" w14:paraId="710F16BE" w14:textId="77777777">
        <w:tc>
          <w:tcPr>
            <w:tcW w:w="9115" w:type="dxa"/>
            <w:shd w:val="clear" w:color="auto" w:fill="auto"/>
            <w:vAlign w:val="center"/>
          </w:tcPr>
          <w:p w14:paraId="06315077" w14:textId="77777777" w:rsidR="00D14963" w:rsidRDefault="00CC79B0">
            <w:pPr>
              <w:numPr>
                <w:ilvl w:val="0"/>
                <w:numId w:val="5"/>
              </w:numPr>
              <w:jc w:val="both"/>
              <w:rPr>
                <w:rFonts w:ascii="Times New Roman" w:hAnsi="Times New Roman"/>
              </w:rPr>
            </w:pPr>
            <w:r>
              <w:rPr>
                <w:rFonts w:ascii="Times New Roman" w:hAnsi="Times New Roman"/>
              </w:rPr>
              <w:t>Los pactos indemnizatorios en la extinción del contrato de alta dirección. TL nº 49</w:t>
            </w:r>
          </w:p>
        </w:tc>
        <w:tc>
          <w:tcPr>
            <w:tcW w:w="44" w:type="dxa"/>
          </w:tcPr>
          <w:p w14:paraId="2CE890FD" w14:textId="77777777" w:rsidR="00D14963" w:rsidRDefault="00D14963"/>
        </w:tc>
      </w:tr>
      <w:tr w:rsidR="00D14963" w14:paraId="1D06A616" w14:textId="77777777">
        <w:tc>
          <w:tcPr>
            <w:tcW w:w="9159" w:type="dxa"/>
            <w:gridSpan w:val="2"/>
            <w:shd w:val="clear" w:color="auto" w:fill="auto"/>
            <w:vAlign w:val="center"/>
          </w:tcPr>
          <w:p w14:paraId="6AE8793F" w14:textId="77777777" w:rsidR="00D14963" w:rsidRDefault="00CC79B0">
            <w:pPr>
              <w:numPr>
                <w:ilvl w:val="0"/>
                <w:numId w:val="4"/>
              </w:numPr>
              <w:jc w:val="both"/>
              <w:rPr>
                <w:rFonts w:ascii="Times New Roman" w:hAnsi="Times New Roman"/>
              </w:rPr>
            </w:pPr>
            <w:r>
              <w:rPr>
                <w:rFonts w:ascii="Times New Roman" w:hAnsi="Times New Roman"/>
              </w:rPr>
              <w:t>Ausencias retribuidas y reducciones de jornada para conciliar la vida familiar y laboral. TL nº 73</w:t>
            </w:r>
          </w:p>
          <w:p w14:paraId="73805A66" w14:textId="77777777" w:rsidR="00D14963" w:rsidRDefault="00CC79B0">
            <w:pPr>
              <w:numPr>
                <w:ilvl w:val="0"/>
                <w:numId w:val="4"/>
              </w:numPr>
              <w:jc w:val="both"/>
              <w:rPr>
                <w:rFonts w:ascii="Times New Roman" w:hAnsi="Times New Roman"/>
              </w:rPr>
            </w:pPr>
            <w:r>
              <w:rPr>
                <w:rFonts w:ascii="Times New Roman" w:hAnsi="Times New Roman"/>
              </w:rPr>
              <w:t>La suspensión del contrato de trabajo. CES. Madrid, 2004</w:t>
            </w:r>
          </w:p>
          <w:p w14:paraId="1E18E648" w14:textId="77777777" w:rsidR="00D14963" w:rsidRDefault="00CC79B0">
            <w:pPr>
              <w:numPr>
                <w:ilvl w:val="0"/>
                <w:numId w:val="4"/>
              </w:numPr>
              <w:jc w:val="both"/>
              <w:rPr>
                <w:rFonts w:ascii="Times New Roman" w:hAnsi="Times New Roman"/>
              </w:rPr>
            </w:pPr>
            <w:r>
              <w:rPr>
                <w:rFonts w:ascii="Times New Roman" w:hAnsi="Times New Roman"/>
              </w:rPr>
              <w:t>“Prácticas de empresa sobre la prevención del acoso”, en la obra colectiva, Acoso moral en el trabajo. Aranzadi, 2006.</w:t>
            </w:r>
          </w:p>
          <w:p w14:paraId="3C4708EF" w14:textId="77777777" w:rsidR="00D14963" w:rsidRDefault="00CC79B0">
            <w:pPr>
              <w:numPr>
                <w:ilvl w:val="0"/>
                <w:numId w:val="4"/>
              </w:numPr>
              <w:jc w:val="both"/>
              <w:rPr>
                <w:rFonts w:ascii="Times New Roman" w:hAnsi="Times New Roman"/>
              </w:rPr>
            </w:pPr>
            <w:r>
              <w:rPr>
                <w:rFonts w:ascii="Times New Roman" w:hAnsi="Times New Roman"/>
              </w:rPr>
              <w:t>El acceso al mercado de trabajo español de los inmigrantes extracomunitarios. Servicio de Publicaciones de la Universidad de Córdoba, 2007</w:t>
            </w:r>
          </w:p>
          <w:tbl>
            <w:tblPr>
              <w:tblW w:w="9070" w:type="dxa"/>
              <w:tblCellMar>
                <w:top w:w="15" w:type="dxa"/>
                <w:left w:w="15" w:type="dxa"/>
                <w:bottom w:w="15" w:type="dxa"/>
                <w:right w:w="15" w:type="dxa"/>
              </w:tblCellMar>
              <w:tblLook w:val="0000" w:firstRow="0" w:lastRow="0" w:firstColumn="0" w:lastColumn="0" w:noHBand="0" w:noVBand="0"/>
            </w:tblPr>
            <w:tblGrid>
              <w:gridCol w:w="9070"/>
            </w:tblGrid>
            <w:tr w:rsidR="00D14963" w14:paraId="732A6501" w14:textId="77777777">
              <w:tc>
                <w:tcPr>
                  <w:tcW w:w="9070" w:type="dxa"/>
                  <w:shd w:val="clear" w:color="auto" w:fill="auto"/>
                  <w:vAlign w:val="center"/>
                </w:tcPr>
                <w:p w14:paraId="0C2E9C2F" w14:textId="77777777" w:rsidR="00D14963" w:rsidRDefault="00CC79B0">
                  <w:pPr>
                    <w:numPr>
                      <w:ilvl w:val="0"/>
                      <w:numId w:val="6"/>
                    </w:numPr>
                    <w:jc w:val="both"/>
                    <w:rPr>
                      <w:rFonts w:ascii="Times New Roman" w:hAnsi="Times New Roman"/>
                    </w:rPr>
                  </w:pPr>
                  <w:r>
                    <w:rPr>
                      <w:rFonts w:ascii="Times New Roman" w:hAnsi="Times New Roman"/>
                    </w:rPr>
                    <w:t xml:space="preserve">“La protección social de los trabajadores del mar” en la obra colectiva, La protección social en las relaciones laborales extraterritoriales. BOE, 2008 </w:t>
                  </w:r>
                </w:p>
              </w:tc>
            </w:tr>
          </w:tbl>
          <w:p w14:paraId="3C71BE77" w14:textId="77777777" w:rsidR="00D14963" w:rsidRDefault="00CC79B0">
            <w:pPr>
              <w:numPr>
                <w:ilvl w:val="0"/>
                <w:numId w:val="6"/>
              </w:numPr>
              <w:jc w:val="both"/>
              <w:rPr>
                <w:rFonts w:ascii="Times New Roman" w:hAnsi="Times New Roman"/>
              </w:rPr>
            </w:pPr>
            <w:r>
              <w:rPr>
                <w:rFonts w:ascii="Times New Roman" w:hAnsi="Times New Roman"/>
              </w:rPr>
              <w:t>“La integración, ¿a través del empleo? Una reflexión sobre la situación del inmigrante trabajador en España” en la obra colectiva, Migraciones internacionales en el mediterráneo y Unión Europea. HUYGENS, 2009</w:t>
            </w:r>
          </w:p>
          <w:p w14:paraId="72A4B2AB" w14:textId="77777777" w:rsidR="00D14963" w:rsidRDefault="00CC79B0">
            <w:pPr>
              <w:pStyle w:val="Prrafodelista"/>
              <w:numPr>
                <w:ilvl w:val="0"/>
                <w:numId w:val="6"/>
              </w:numPr>
              <w:spacing w:line="240" w:lineRule="auto"/>
              <w:ind w:left="714" w:hanging="357"/>
              <w:jc w:val="both"/>
              <w:rPr>
                <w:rFonts w:ascii="Times New Roman" w:hAnsi="Times New Roman"/>
                <w:color w:val="000000"/>
              </w:rPr>
            </w:pPr>
            <w:r>
              <w:rPr>
                <w:rFonts w:ascii="Times New Roman" w:hAnsi="Times New Roman"/>
                <w:color w:val="000000"/>
              </w:rPr>
              <w:t>“Inaplicación de la nulidad objetiva en los casos de desestimiento empresarial durante el periodo de prueba de la trabajadora embarazada: la ¿evolución? de la jurisprudencia constitucional”. Temas Laborales 123/2014.</w:t>
            </w:r>
          </w:p>
          <w:p w14:paraId="3367495A" w14:textId="77777777" w:rsidR="00D14963" w:rsidRDefault="00D14963">
            <w:pPr>
              <w:pStyle w:val="Prrafodelista"/>
              <w:spacing w:line="240" w:lineRule="auto"/>
              <w:ind w:left="714"/>
              <w:jc w:val="both"/>
              <w:rPr>
                <w:rFonts w:ascii="Times New Roman" w:hAnsi="Times New Roman"/>
                <w:color w:val="000000"/>
              </w:rPr>
            </w:pPr>
          </w:p>
          <w:p w14:paraId="1C75C5A8" w14:textId="77777777" w:rsidR="00D14963" w:rsidRDefault="00CC79B0">
            <w:pPr>
              <w:pStyle w:val="Prrafodelista"/>
              <w:numPr>
                <w:ilvl w:val="0"/>
                <w:numId w:val="6"/>
              </w:numPr>
              <w:spacing w:line="240" w:lineRule="auto"/>
              <w:ind w:left="714" w:hanging="357"/>
              <w:jc w:val="both"/>
              <w:rPr>
                <w:rFonts w:ascii="Times New Roman" w:hAnsi="Times New Roman"/>
                <w:color w:val="000000"/>
              </w:rPr>
            </w:pPr>
            <w:r>
              <w:rPr>
                <w:rFonts w:ascii="Times New Roman" w:hAnsi="Times New Roman"/>
                <w:color w:val="000000"/>
              </w:rPr>
              <w:lastRenderedPageBreak/>
              <w:t>”Igualdad, conciliación, corresponsabilidad y flexibilidad: ejes claves para la gestión del mercado de trabajo actual” en la obra de AA.VV (Coord. Sáez Lara) Igualdad de género en el trabajo: estrategias y propuestas. Laborum, 2016, pp. 57 a 92.</w:t>
            </w:r>
          </w:p>
          <w:p w14:paraId="6D2C8E34" w14:textId="77777777" w:rsidR="00D14963" w:rsidRDefault="00D14963">
            <w:pPr>
              <w:pStyle w:val="Prrafodelista"/>
              <w:spacing w:line="240" w:lineRule="auto"/>
              <w:ind w:left="714"/>
              <w:jc w:val="both"/>
              <w:rPr>
                <w:rFonts w:ascii="Times New Roman" w:hAnsi="Times New Roman"/>
                <w:color w:val="000000"/>
              </w:rPr>
            </w:pPr>
          </w:p>
          <w:p w14:paraId="6158485D" w14:textId="77777777" w:rsidR="00D14963" w:rsidRDefault="00CC79B0">
            <w:pPr>
              <w:pStyle w:val="Prrafodelista"/>
              <w:numPr>
                <w:ilvl w:val="0"/>
                <w:numId w:val="6"/>
              </w:numPr>
              <w:spacing w:line="240" w:lineRule="auto"/>
              <w:ind w:left="714" w:hanging="357"/>
              <w:jc w:val="both"/>
              <w:rPr>
                <w:rFonts w:ascii="Times New Roman" w:hAnsi="Times New Roman"/>
                <w:color w:val="000000"/>
              </w:rPr>
            </w:pPr>
            <w:r>
              <w:rPr>
                <w:rFonts w:ascii="Times New Roman" w:hAnsi="Times New Roman"/>
                <w:color w:val="000000"/>
              </w:rPr>
              <w:t xml:space="preserve">”Inmigración económica extracomunitaria: algunos aspectos claves de la política de gestión de flujos migratorios en la Unión”. En la obra de AA.VV, Libre circulación de trabajadores en la Unión Europea. Treinta años en la Unión. CARL, 2016, pp. 271 a 329. </w:t>
            </w:r>
          </w:p>
          <w:p w14:paraId="12DD1225" w14:textId="77777777" w:rsidR="00D14963" w:rsidRDefault="00D14963">
            <w:pPr>
              <w:pStyle w:val="Prrafodelista"/>
              <w:spacing w:line="240" w:lineRule="auto"/>
              <w:ind w:left="714"/>
              <w:jc w:val="both"/>
              <w:rPr>
                <w:rFonts w:ascii="Times New Roman" w:hAnsi="Times New Roman"/>
                <w:color w:val="000000"/>
              </w:rPr>
            </w:pPr>
          </w:p>
          <w:p w14:paraId="460DE0AB" w14:textId="77777777" w:rsidR="00D14963" w:rsidRDefault="00CC79B0">
            <w:pPr>
              <w:pStyle w:val="Prrafodelista"/>
              <w:numPr>
                <w:ilvl w:val="0"/>
                <w:numId w:val="6"/>
              </w:numPr>
              <w:spacing w:line="240" w:lineRule="auto"/>
              <w:ind w:left="714" w:hanging="357"/>
              <w:jc w:val="both"/>
              <w:rPr>
                <w:rFonts w:ascii="Times New Roman" w:hAnsi="Times New Roman"/>
                <w:b/>
                <w:color w:val="000000"/>
              </w:rPr>
            </w:pPr>
            <w:r>
              <w:rPr>
                <w:rFonts w:ascii="Times New Roman" w:hAnsi="Times New Roman"/>
                <w:color w:val="000000"/>
              </w:rPr>
              <w:t>“Medidas de política de empleo dirigidas a colectivos específicos en la etapa de ¿recuperación económica? La inclusión activa como paradigma”. Temas Laborales 137/2017, pp. 127 a 162.</w:t>
            </w:r>
          </w:p>
          <w:p w14:paraId="1D70E80D" w14:textId="77777777" w:rsidR="00D14963" w:rsidRDefault="00D14963">
            <w:pPr>
              <w:pStyle w:val="Prrafodelista"/>
              <w:rPr>
                <w:rFonts w:ascii="Times New Roman" w:hAnsi="Times New Roman"/>
                <w:b/>
                <w:color w:val="000000"/>
              </w:rPr>
            </w:pPr>
          </w:p>
          <w:p w14:paraId="0F82EBBB" w14:textId="77777777" w:rsidR="00D14963" w:rsidRDefault="00CC79B0">
            <w:pPr>
              <w:pStyle w:val="Prrafodelista"/>
              <w:numPr>
                <w:ilvl w:val="0"/>
                <w:numId w:val="7"/>
              </w:numPr>
              <w:jc w:val="both"/>
              <w:rPr>
                <w:rStyle w:val="ancho60p"/>
                <w:rFonts w:ascii="Times New Roman" w:hAnsi="Times New Roman"/>
              </w:rPr>
            </w:pPr>
            <w:r>
              <w:rPr>
                <w:rStyle w:val="ancho60p"/>
                <w:rFonts w:ascii="Times New Roman" w:hAnsi="Times New Roman"/>
              </w:rPr>
              <w:t>“El alcance del derecho a adaptar la jornada y a la elección de turno de trabajo como medida de conciliación de la vida familiar y laboral: una controversia aún por resolver”. Temas Laborales,  141/2018.</w:t>
            </w:r>
          </w:p>
          <w:p w14:paraId="2C9A1078" w14:textId="77777777" w:rsidR="00D14963" w:rsidRDefault="00D14963">
            <w:pPr>
              <w:pStyle w:val="Prrafodelista"/>
              <w:jc w:val="both"/>
              <w:rPr>
                <w:rStyle w:val="ancho60p"/>
                <w:rFonts w:ascii="Times New Roman" w:hAnsi="Times New Roman"/>
              </w:rPr>
            </w:pPr>
          </w:p>
          <w:p w14:paraId="2D769387" w14:textId="77777777" w:rsidR="00D14963" w:rsidRDefault="00CC79B0">
            <w:pPr>
              <w:pStyle w:val="Prrafodelista"/>
              <w:numPr>
                <w:ilvl w:val="0"/>
                <w:numId w:val="7"/>
              </w:numPr>
              <w:jc w:val="both"/>
              <w:rPr>
                <w:rStyle w:val="ancho60p"/>
                <w:rFonts w:ascii="Times New Roman" w:hAnsi="Times New Roman"/>
              </w:rPr>
            </w:pPr>
            <w:r>
              <w:rPr>
                <w:rStyle w:val="ancho60p"/>
                <w:rFonts w:ascii="Times New Roman" w:hAnsi="Times New Roman"/>
              </w:rPr>
              <w:t>“Conciliación y trabajo doméstico: un reto para las políticas socio-laborales del siglo XXI. El decisivo papel de los tribunales de justicia”. Lex Social: Revista de los Derechos Sociales 2/2019.</w:t>
            </w:r>
          </w:p>
          <w:p w14:paraId="390663E8" w14:textId="77777777" w:rsidR="00D14963" w:rsidRDefault="00D14963">
            <w:pPr>
              <w:pStyle w:val="Prrafodelista"/>
              <w:rPr>
                <w:rStyle w:val="ancho60p"/>
                <w:rFonts w:ascii="Times New Roman" w:hAnsi="Times New Roman"/>
              </w:rPr>
            </w:pPr>
          </w:p>
          <w:tbl>
            <w:tblPr>
              <w:tblW w:w="9070" w:type="dxa"/>
              <w:tblCellMar>
                <w:top w:w="15" w:type="dxa"/>
                <w:left w:w="15" w:type="dxa"/>
                <w:bottom w:w="15" w:type="dxa"/>
                <w:right w:w="15" w:type="dxa"/>
              </w:tblCellMar>
              <w:tblLook w:val="04A0" w:firstRow="1" w:lastRow="0" w:firstColumn="1" w:lastColumn="0" w:noHBand="0" w:noVBand="1"/>
            </w:tblPr>
            <w:tblGrid>
              <w:gridCol w:w="80"/>
              <w:gridCol w:w="8990"/>
            </w:tblGrid>
            <w:tr w:rsidR="00D14963" w14:paraId="571AED8D" w14:textId="77777777">
              <w:tc>
                <w:tcPr>
                  <w:tcW w:w="80" w:type="dxa"/>
                  <w:vAlign w:val="center"/>
                </w:tcPr>
                <w:p w14:paraId="45338828" w14:textId="77777777" w:rsidR="00D14963" w:rsidRDefault="00D14963">
                  <w:pPr>
                    <w:pStyle w:val="Prrafodelista"/>
                    <w:numPr>
                      <w:ilvl w:val="0"/>
                      <w:numId w:val="7"/>
                    </w:numPr>
                    <w:spacing w:after="0" w:line="240" w:lineRule="auto"/>
                    <w:jc w:val="both"/>
                    <w:rPr>
                      <w:rFonts w:ascii="Times New Roman" w:eastAsia="Times New Roman" w:hAnsi="Times New Roman"/>
                      <w:lang w:eastAsia="es-ES"/>
                    </w:rPr>
                  </w:pPr>
                </w:p>
              </w:tc>
              <w:tc>
                <w:tcPr>
                  <w:tcW w:w="8989" w:type="dxa"/>
                  <w:vAlign w:val="center"/>
                </w:tcPr>
                <w:p w14:paraId="64FB4E4E" w14:textId="77777777" w:rsidR="00D14963" w:rsidRDefault="00CC79B0">
                  <w:pPr>
                    <w:pStyle w:val="Prrafodelista"/>
                    <w:numPr>
                      <w:ilvl w:val="0"/>
                      <w:numId w:val="7"/>
                    </w:numPr>
                    <w:spacing w:after="0" w:line="240" w:lineRule="auto"/>
                    <w:jc w:val="both"/>
                    <w:rPr>
                      <w:rFonts w:ascii="Times New Roman" w:eastAsia="Times New Roman" w:hAnsi="Times New Roman"/>
                      <w:lang w:eastAsia="es-ES"/>
                    </w:rPr>
                  </w:pPr>
                  <w:r>
                    <w:rPr>
                      <w:rFonts w:ascii="Times New Roman" w:eastAsia="Times New Roman" w:hAnsi="Times New Roman"/>
                      <w:lang w:eastAsia="es-ES"/>
                    </w:rPr>
                    <w:t xml:space="preserve">“El trabajo doméstico como portal de acceso al mercado laboral español de las mujeres inmigrantes: políticas y gestión”.  </w:t>
                  </w:r>
                  <w:r>
                    <w:rPr>
                      <w:rStyle w:val="ancho60p"/>
                      <w:rFonts w:ascii="Times New Roman" w:hAnsi="Times New Roman"/>
                    </w:rPr>
                    <w:t xml:space="preserve">Estudios Financieros. Revista de Trabajo y Seguridad Social, </w:t>
                  </w:r>
                  <w:r>
                    <w:rPr>
                      <w:rFonts w:ascii="Times New Roman" w:eastAsia="Times New Roman" w:hAnsi="Times New Roman"/>
                      <w:lang w:eastAsia="es-ES"/>
                    </w:rPr>
                    <w:t>433/2019.</w:t>
                  </w:r>
                </w:p>
                <w:p w14:paraId="17F7F622" w14:textId="77777777" w:rsidR="00D14963" w:rsidRDefault="00D14963">
                  <w:pPr>
                    <w:spacing w:after="0" w:line="240" w:lineRule="auto"/>
                    <w:jc w:val="both"/>
                    <w:rPr>
                      <w:rFonts w:ascii="Times New Roman" w:eastAsia="Times New Roman" w:hAnsi="Times New Roman"/>
                      <w:lang w:eastAsia="es-ES"/>
                    </w:rPr>
                  </w:pPr>
                </w:p>
                <w:p w14:paraId="1EAA2A21" w14:textId="77777777" w:rsidR="00D14963" w:rsidRDefault="00CC79B0">
                  <w:pPr>
                    <w:pStyle w:val="Prrafodelista"/>
                    <w:numPr>
                      <w:ilvl w:val="0"/>
                      <w:numId w:val="7"/>
                    </w:numPr>
                    <w:spacing w:after="0" w:line="240" w:lineRule="auto"/>
                    <w:jc w:val="both"/>
                    <w:rPr>
                      <w:rStyle w:val="ancho60p"/>
                      <w:rFonts w:ascii="Times New Roman" w:hAnsi="Times New Roman"/>
                    </w:rPr>
                  </w:pPr>
                  <w:r>
                    <w:rPr>
                      <w:rStyle w:val="ancho60p"/>
                      <w:rFonts w:ascii="Times New Roman" w:hAnsi="Times New Roman"/>
                    </w:rPr>
                    <w:t>“La dignificación del trabajo, la igualdad laboral entre mujeres y hombres y la erradicación de la violencia de género en el trabajo productivo y reproductivo: retos de la política sociolaboral”.  Revista General del Derecho del Trabajo y de la Seguridad Social, 52/2019.</w:t>
                  </w:r>
                </w:p>
                <w:p w14:paraId="011EFB2D" w14:textId="77777777" w:rsidR="00D14963" w:rsidRDefault="00D14963">
                  <w:pPr>
                    <w:spacing w:after="0" w:line="240" w:lineRule="auto"/>
                    <w:jc w:val="both"/>
                    <w:rPr>
                      <w:rStyle w:val="ancho60p"/>
                      <w:rFonts w:ascii="Times New Roman" w:hAnsi="Times New Roman"/>
                    </w:rPr>
                  </w:pPr>
                </w:p>
                <w:p w14:paraId="1C968FE4" w14:textId="77777777" w:rsidR="00D14963" w:rsidRDefault="00CC79B0">
                  <w:pPr>
                    <w:pStyle w:val="Prrafodelista"/>
                    <w:numPr>
                      <w:ilvl w:val="0"/>
                      <w:numId w:val="7"/>
                    </w:numPr>
                    <w:spacing w:after="0" w:line="240" w:lineRule="auto"/>
                    <w:jc w:val="both"/>
                    <w:rPr>
                      <w:rFonts w:ascii="Times New Roman" w:eastAsia="Times New Roman" w:hAnsi="Times New Roman"/>
                      <w:lang w:eastAsia="es-ES"/>
                    </w:rPr>
                  </w:pPr>
                  <w:r>
                    <w:rPr>
                      <w:rStyle w:val="ancho60p"/>
                      <w:rFonts w:ascii="Times New Roman" w:hAnsi="Times New Roman"/>
                    </w:rPr>
                    <w:t>“Limitaciones del derecho al desistimiento en la relación laboral especial del personal al servicio del hogar familiar: cuantía indemnizatoria y reparación por daños morales de la trabajadora embarazada”.  Temas Laborales,  146/2019.</w:t>
                  </w:r>
                </w:p>
              </w:tc>
            </w:tr>
          </w:tbl>
          <w:p w14:paraId="3F1829C1" w14:textId="77777777" w:rsidR="00D14963" w:rsidRDefault="00D14963">
            <w:pPr>
              <w:ind w:left="720"/>
              <w:jc w:val="both"/>
              <w:rPr>
                <w:rFonts w:ascii="Times New Roman" w:hAnsi="Times New Roman"/>
              </w:rPr>
            </w:pPr>
          </w:p>
        </w:tc>
      </w:tr>
    </w:tbl>
    <w:p w14:paraId="231E4CB9" w14:textId="77777777" w:rsidR="00D14963" w:rsidRDefault="00D14963">
      <w:pPr>
        <w:spacing w:after="0" w:line="240" w:lineRule="auto"/>
        <w:jc w:val="both"/>
        <w:rPr>
          <w:rFonts w:ascii="Arial" w:eastAsia="Times New Roman" w:hAnsi="Arial" w:cs="Arial"/>
          <w:b/>
          <w:color w:val="000000"/>
          <w:lang w:val="es-ES_tradnl" w:eastAsia="es-ES"/>
        </w:rPr>
      </w:pPr>
    </w:p>
    <w:p w14:paraId="5C72078F" w14:textId="77777777" w:rsidR="00D14963" w:rsidRDefault="00CC79B0">
      <w:pPr>
        <w:spacing w:after="0" w:line="240" w:lineRule="auto"/>
        <w:jc w:val="both"/>
        <w:rPr>
          <w:rFonts w:ascii="Arial" w:eastAsia="Times New Roman" w:hAnsi="Arial" w:cs="Arial"/>
          <w:b/>
          <w:color w:val="000000"/>
          <w:lang w:val="es-ES_tradnl" w:eastAsia="es-ES"/>
        </w:rPr>
      </w:pPr>
      <w:r>
        <w:rPr>
          <w:rFonts w:ascii="Arial" w:eastAsia="Times New Roman" w:hAnsi="Arial" w:cs="Arial"/>
          <w:b/>
          <w:color w:val="000000"/>
          <w:lang w:val="es-ES_tradnl" w:eastAsia="es-ES"/>
        </w:rPr>
        <w:t>C.2. Proyectos</w:t>
      </w:r>
    </w:p>
    <w:p w14:paraId="1D98D530" w14:textId="77777777" w:rsidR="00D14963" w:rsidRDefault="00D14963">
      <w:pPr>
        <w:spacing w:after="0" w:line="240" w:lineRule="auto"/>
        <w:jc w:val="both"/>
        <w:rPr>
          <w:rFonts w:ascii="Arial" w:eastAsia="Times New Roman" w:hAnsi="Arial" w:cs="Arial"/>
          <w:b/>
          <w:color w:val="000000"/>
          <w:lang w:val="es-ES_tradnl" w:eastAsia="es-ES"/>
        </w:rPr>
      </w:pPr>
    </w:p>
    <w:p w14:paraId="0B375CEB" w14:textId="77777777" w:rsidR="00D14963" w:rsidRDefault="00CC79B0">
      <w:pPr>
        <w:numPr>
          <w:ilvl w:val="0"/>
          <w:numId w:val="3"/>
        </w:numPr>
        <w:jc w:val="both"/>
        <w:rPr>
          <w:rFonts w:ascii="Times New Roman" w:hAnsi="Times New Roman"/>
        </w:rPr>
      </w:pPr>
      <w:r>
        <w:rPr>
          <w:rFonts w:ascii="Times New Roman" w:hAnsi="Times New Roman"/>
        </w:rPr>
        <w:t xml:space="preserve">“El Código Europeo de Inmigración”. Entidad financiadora: Junta de Andalucía. Duración: desde </w:t>
      </w:r>
      <w:r>
        <w:rPr>
          <w:rFonts w:ascii="Times New Roman" w:hAnsi="Times New Roman"/>
          <w:lang w:eastAsia="es-ES"/>
        </w:rPr>
        <w:t xml:space="preserve">01/01/2004 Hasta: 01/01/2005. </w:t>
      </w:r>
      <w:r>
        <w:rPr>
          <w:rFonts w:ascii="Times New Roman" w:hAnsi="Times New Roman"/>
        </w:rPr>
        <w:t>Grado de responsabilidad: Investigador colaborador.</w:t>
      </w:r>
    </w:p>
    <w:tbl>
      <w:tblPr>
        <w:tblW w:w="8789" w:type="dxa"/>
        <w:tblInd w:w="225" w:type="dxa"/>
        <w:tblCellMar>
          <w:top w:w="15" w:type="dxa"/>
          <w:left w:w="240" w:type="dxa"/>
          <w:bottom w:w="15" w:type="dxa"/>
          <w:right w:w="15" w:type="dxa"/>
        </w:tblCellMar>
        <w:tblLook w:val="04A0" w:firstRow="1" w:lastRow="0" w:firstColumn="1" w:lastColumn="0" w:noHBand="0" w:noVBand="1"/>
      </w:tblPr>
      <w:tblGrid>
        <w:gridCol w:w="8789"/>
      </w:tblGrid>
      <w:tr w:rsidR="00D14963" w14:paraId="6CDF3008" w14:textId="77777777">
        <w:trPr>
          <w:trHeight w:val="285"/>
        </w:trPr>
        <w:tc>
          <w:tcPr>
            <w:tcW w:w="8789" w:type="dxa"/>
            <w:shd w:val="clear" w:color="auto" w:fill="FFFFFF"/>
            <w:vAlign w:val="center"/>
          </w:tcPr>
          <w:p w14:paraId="65F46BFA" w14:textId="77777777" w:rsidR="00D14963" w:rsidRDefault="00CC79B0">
            <w:pPr>
              <w:numPr>
                <w:ilvl w:val="0"/>
                <w:numId w:val="3"/>
              </w:numPr>
              <w:jc w:val="both"/>
              <w:rPr>
                <w:rFonts w:ascii="Times New Roman" w:hAnsi="Times New Roman"/>
                <w:lang w:val="es-ES_tradnl" w:eastAsia="es-ES_tradnl"/>
              </w:rPr>
            </w:pPr>
            <w:r>
              <w:rPr>
                <w:rFonts w:ascii="Times New Roman" w:hAnsi="Times New Roman"/>
                <w:lang w:val="es-ES_tradnl" w:eastAsia="es-ES_tradnl"/>
              </w:rPr>
              <w:t xml:space="preserve">“La protección social en las relaciones laborales territoriales”. </w:t>
            </w:r>
            <w:r>
              <w:rPr>
                <w:rFonts w:ascii="Times New Roman" w:hAnsi="Times New Roman"/>
              </w:rPr>
              <w:t>Entidad financiadora: Ministerio de Trabajo y Asuntos Sociales. Duración:</w:t>
            </w:r>
            <w:r>
              <w:rPr>
                <w:rFonts w:ascii="Times New Roman" w:hAnsi="Times New Roman"/>
                <w:lang w:eastAsia="es-ES"/>
              </w:rPr>
              <w:t xml:space="preserve"> desde: 01/01/2006 hasta: 31/12/2006</w:t>
            </w:r>
            <w:r>
              <w:rPr>
                <w:rFonts w:ascii="Times New Roman" w:hAnsi="Times New Roman"/>
              </w:rPr>
              <w:t>. Grado de responsabilidad: Investigador colaborador.</w:t>
            </w:r>
          </w:p>
        </w:tc>
      </w:tr>
      <w:tr w:rsidR="00D14963" w14:paraId="1AB7CF19" w14:textId="77777777">
        <w:trPr>
          <w:trHeight w:val="285"/>
        </w:trPr>
        <w:tc>
          <w:tcPr>
            <w:tcW w:w="8789" w:type="dxa"/>
            <w:shd w:val="clear" w:color="auto" w:fill="FFFFFF"/>
            <w:vAlign w:val="center"/>
          </w:tcPr>
          <w:p w14:paraId="4942976B" w14:textId="77777777" w:rsidR="00D14963" w:rsidRDefault="00CC79B0">
            <w:pPr>
              <w:numPr>
                <w:ilvl w:val="0"/>
                <w:numId w:val="2"/>
              </w:numPr>
              <w:spacing w:line="240" w:lineRule="atLeast"/>
              <w:jc w:val="both"/>
              <w:rPr>
                <w:rFonts w:ascii="Times New Roman" w:hAnsi="Times New Roman"/>
                <w:lang w:val="es-ES_tradnl" w:eastAsia="es-ES_tradnl"/>
              </w:rPr>
            </w:pPr>
            <w:r>
              <w:rPr>
                <w:rFonts w:ascii="Times New Roman" w:hAnsi="Times New Roman"/>
                <w:lang w:val="es-ES_tradnl" w:eastAsia="es-ES_tradnl"/>
              </w:rPr>
              <w:t>EQUAL- Nuevos empleos para las mujeres de Córdoba (NEMCO). Entidad financiadora. Fondo Social Europeo.</w:t>
            </w:r>
            <w:r>
              <w:rPr>
                <w:rFonts w:ascii="Times New Roman" w:hAnsi="Times New Roman"/>
                <w:lang w:eastAsia="es-ES"/>
              </w:rPr>
              <w:t xml:space="preserve"> Duración: Desde: 01/01/2005 Hasta: 31/12/2007.</w:t>
            </w:r>
            <w:r>
              <w:rPr>
                <w:rFonts w:ascii="Times New Roman" w:hAnsi="Times New Roman"/>
              </w:rPr>
              <w:t xml:space="preserve"> Grado de responsabilidad: Investigador colaborador.</w:t>
            </w:r>
          </w:p>
        </w:tc>
      </w:tr>
      <w:tr w:rsidR="00D14963" w14:paraId="7FC1D567" w14:textId="77777777">
        <w:trPr>
          <w:trHeight w:val="285"/>
        </w:trPr>
        <w:tc>
          <w:tcPr>
            <w:tcW w:w="8789" w:type="dxa"/>
            <w:shd w:val="clear" w:color="auto" w:fill="FFFFFF"/>
            <w:vAlign w:val="center"/>
          </w:tcPr>
          <w:p w14:paraId="1890A2CA" w14:textId="77777777" w:rsidR="00D14963" w:rsidRDefault="00CC79B0">
            <w:pPr>
              <w:numPr>
                <w:ilvl w:val="0"/>
                <w:numId w:val="3"/>
              </w:numPr>
              <w:jc w:val="both"/>
              <w:rPr>
                <w:rFonts w:ascii="Times New Roman" w:hAnsi="Times New Roman"/>
                <w:lang w:val="es-ES_tradnl" w:eastAsia="es-ES_tradnl"/>
              </w:rPr>
            </w:pPr>
            <w:r>
              <w:rPr>
                <w:rFonts w:ascii="Times New Roman" w:hAnsi="Times New Roman"/>
                <w:lang w:val="es-ES_tradnl" w:eastAsia="es-ES_tradnl"/>
              </w:rPr>
              <w:t xml:space="preserve">Desarrollo del Turismo Comunitario en áreas rurales de El Salvador. </w:t>
            </w:r>
            <w:r>
              <w:rPr>
                <w:rFonts w:ascii="Times New Roman" w:hAnsi="Times New Roman"/>
              </w:rPr>
              <w:t xml:space="preserve">Entidad financiadora: Universidad de Córdoba. Duración: </w:t>
            </w:r>
            <w:r>
              <w:rPr>
                <w:rFonts w:ascii="Times New Roman" w:hAnsi="Times New Roman"/>
                <w:lang w:eastAsia="es-ES"/>
              </w:rPr>
              <w:t xml:space="preserve">Desde: 01/01/2008 Hasta: 01/01/2009. </w:t>
            </w:r>
            <w:r>
              <w:rPr>
                <w:rFonts w:ascii="Times New Roman" w:hAnsi="Times New Roman"/>
              </w:rPr>
              <w:t>Grado de responsabilidad: Investigador colaborador.</w:t>
            </w:r>
          </w:p>
        </w:tc>
      </w:tr>
      <w:tr w:rsidR="00D14963" w14:paraId="012D97E5" w14:textId="77777777">
        <w:trPr>
          <w:trHeight w:val="285"/>
        </w:trPr>
        <w:tc>
          <w:tcPr>
            <w:tcW w:w="8789" w:type="dxa"/>
            <w:shd w:val="clear" w:color="auto" w:fill="FFFFFF"/>
            <w:vAlign w:val="center"/>
          </w:tcPr>
          <w:p w14:paraId="4A24CF32" w14:textId="77777777" w:rsidR="00D14963" w:rsidRDefault="00CC79B0">
            <w:pPr>
              <w:numPr>
                <w:ilvl w:val="0"/>
                <w:numId w:val="3"/>
              </w:numPr>
              <w:jc w:val="both"/>
              <w:rPr>
                <w:rFonts w:ascii="Times New Roman" w:hAnsi="Times New Roman"/>
                <w:lang w:val="es-ES_tradnl" w:eastAsia="es-ES_tradnl"/>
              </w:rPr>
            </w:pPr>
            <w:r>
              <w:rPr>
                <w:rFonts w:ascii="Times New Roman" w:hAnsi="Times New Roman"/>
                <w:lang w:val="es-ES_tradnl" w:eastAsia="es-ES_tradnl"/>
              </w:rPr>
              <w:t>La Política social y de empleo comunitaria a partir del nuevo Tratado de Lisboa</w:t>
            </w:r>
            <w:r>
              <w:rPr>
                <w:rFonts w:ascii="Times New Roman" w:hAnsi="Times New Roman"/>
              </w:rPr>
              <w:t xml:space="preserve"> Entidad financiadora: Junta de Andalucía. Duración:</w:t>
            </w:r>
            <w:r>
              <w:rPr>
                <w:rFonts w:ascii="Times New Roman" w:hAnsi="Times New Roman"/>
                <w:lang w:eastAsia="es-ES"/>
              </w:rPr>
              <w:t xml:space="preserve"> Desde: 01/09/2008 Hasta: 31/03/2009</w:t>
            </w:r>
            <w:r>
              <w:rPr>
                <w:rFonts w:ascii="Times New Roman" w:hAnsi="Times New Roman"/>
              </w:rPr>
              <w:t>. Grado de responsabilidad: Investigador colaborador.</w:t>
            </w:r>
          </w:p>
        </w:tc>
      </w:tr>
      <w:tr w:rsidR="00D14963" w14:paraId="57D8B132" w14:textId="77777777">
        <w:trPr>
          <w:trHeight w:val="285"/>
        </w:trPr>
        <w:tc>
          <w:tcPr>
            <w:tcW w:w="8789" w:type="dxa"/>
            <w:shd w:val="clear" w:color="auto" w:fill="FFFFFF"/>
            <w:vAlign w:val="center"/>
          </w:tcPr>
          <w:p w14:paraId="4D28E0CA" w14:textId="77777777" w:rsidR="00D14963" w:rsidRDefault="00CC79B0">
            <w:pPr>
              <w:numPr>
                <w:ilvl w:val="0"/>
                <w:numId w:val="3"/>
              </w:numPr>
              <w:jc w:val="both"/>
              <w:rPr>
                <w:rFonts w:ascii="Times New Roman" w:hAnsi="Times New Roman"/>
                <w:lang w:val="es-ES_tradnl" w:eastAsia="es-ES_tradnl"/>
              </w:rPr>
            </w:pPr>
            <w:r>
              <w:rPr>
                <w:rFonts w:ascii="Times New Roman" w:hAnsi="Times New Roman"/>
                <w:lang w:val="es-ES_tradnl" w:eastAsia="es-ES_tradnl"/>
              </w:rPr>
              <w:t xml:space="preserve">La inmigración China en Andalucía: implicaciones socioeconómicas y estrategias para su integración. </w:t>
            </w:r>
            <w:r>
              <w:rPr>
                <w:rFonts w:ascii="Times New Roman" w:hAnsi="Times New Roman"/>
              </w:rPr>
              <w:t>Entidad financiadora: Junta de Andalucía. Duración:</w:t>
            </w:r>
            <w:r>
              <w:rPr>
                <w:rFonts w:ascii="Times New Roman" w:hAnsi="Times New Roman"/>
                <w:lang w:eastAsia="es-ES"/>
              </w:rPr>
              <w:t xml:space="preserve"> Desde: 01/01/2010 Hasta: 27/02/2011</w:t>
            </w:r>
            <w:r>
              <w:rPr>
                <w:rFonts w:ascii="Times New Roman" w:hAnsi="Times New Roman"/>
              </w:rPr>
              <w:t>. Grado de responsabilidad: Investigador principal.</w:t>
            </w:r>
          </w:p>
          <w:p w14:paraId="344492DB" w14:textId="77777777" w:rsidR="00D14963" w:rsidRDefault="00CC79B0">
            <w:pPr>
              <w:numPr>
                <w:ilvl w:val="0"/>
                <w:numId w:val="3"/>
              </w:numPr>
              <w:jc w:val="both"/>
              <w:rPr>
                <w:rFonts w:ascii="Times New Roman" w:hAnsi="Times New Roman"/>
                <w:lang w:val="es-ES_tradnl" w:eastAsia="es-ES_tradnl"/>
              </w:rPr>
            </w:pPr>
            <w:r>
              <w:rPr>
                <w:rStyle w:val="ancho100p"/>
                <w:rFonts w:ascii="Times New Roman" w:hAnsi="Times New Roman"/>
              </w:rPr>
              <w:t xml:space="preserve">Nuevas dinámicas y riesgos sociales en el mercado de trabajo del siglo XXI: desigualdad, precariedad y exclusión social. Agencia Estatal de Investigación. Desde 01/09/2018  Hasta 31/12/2020. </w:t>
            </w:r>
            <w:r>
              <w:rPr>
                <w:rFonts w:ascii="Times New Roman" w:hAnsi="Times New Roman"/>
              </w:rPr>
              <w:t>Grado de responsabilidad: Investigador colaborador.</w:t>
            </w:r>
          </w:p>
          <w:p w14:paraId="45C2A8F6" w14:textId="77777777" w:rsidR="00D14963" w:rsidRDefault="00D14963">
            <w:pPr>
              <w:ind w:left="720"/>
              <w:jc w:val="both"/>
              <w:rPr>
                <w:rFonts w:ascii="Times New Roman" w:hAnsi="Times New Roman"/>
                <w:lang w:val="es-ES_tradnl" w:eastAsia="es-ES_tradnl"/>
              </w:rPr>
            </w:pPr>
          </w:p>
        </w:tc>
      </w:tr>
    </w:tbl>
    <w:p w14:paraId="2F129E1C" w14:textId="77777777" w:rsidR="00D14963" w:rsidRDefault="00D14963">
      <w:pPr>
        <w:spacing w:after="0" w:line="240" w:lineRule="auto"/>
        <w:jc w:val="both"/>
        <w:rPr>
          <w:rFonts w:ascii="Arial" w:eastAsia="Times New Roman" w:hAnsi="Arial" w:cs="Arial"/>
          <w:b/>
          <w:color w:val="000000"/>
          <w:lang w:val="es-ES_tradnl" w:eastAsia="es-ES"/>
        </w:rPr>
      </w:pPr>
    </w:p>
    <w:p w14:paraId="784874EE" w14:textId="77777777" w:rsidR="00D14963" w:rsidRDefault="00D14963">
      <w:pPr>
        <w:spacing w:after="0" w:line="240" w:lineRule="auto"/>
        <w:jc w:val="both"/>
        <w:rPr>
          <w:rFonts w:ascii="Arial" w:eastAsia="Times New Roman" w:hAnsi="Arial" w:cs="Arial"/>
          <w:b/>
          <w:color w:val="000000"/>
          <w:lang w:val="es-ES_tradnl" w:eastAsia="es-ES"/>
        </w:rPr>
      </w:pPr>
    </w:p>
    <w:p w14:paraId="0EBAC9B9" w14:textId="77777777" w:rsidR="00D14963" w:rsidRDefault="00CC79B0">
      <w:pPr>
        <w:spacing w:after="0" w:line="240" w:lineRule="auto"/>
        <w:jc w:val="both"/>
        <w:rPr>
          <w:rFonts w:ascii="Arial" w:eastAsia="Times New Roman" w:hAnsi="Arial" w:cs="Arial"/>
          <w:b/>
          <w:color w:val="000000"/>
          <w:lang w:val="es-ES_tradnl" w:eastAsia="es-ES"/>
        </w:rPr>
      </w:pPr>
      <w:r>
        <w:rPr>
          <w:rFonts w:ascii="Times New Roman" w:hAnsi="Times New Roman"/>
          <w:b/>
          <w:sz w:val="24"/>
          <w:szCs w:val="24"/>
        </w:rPr>
        <w:t xml:space="preserve"> C.5 Otros méritos relacionados con la actividad investigadora</w:t>
      </w:r>
    </w:p>
    <w:p w14:paraId="2ED96A0B" w14:textId="77777777" w:rsidR="00D14963" w:rsidRDefault="00D14963">
      <w:pPr>
        <w:ind w:left="720"/>
        <w:jc w:val="both"/>
        <w:rPr>
          <w:rStyle w:val="apple-style-span"/>
          <w:rFonts w:ascii="Times New Roman" w:hAnsi="Times New Roman"/>
        </w:rPr>
      </w:pPr>
    </w:p>
    <w:p w14:paraId="65C5E56F" w14:textId="77777777" w:rsidR="00D14963" w:rsidRDefault="00CC79B0">
      <w:pPr>
        <w:numPr>
          <w:ilvl w:val="0"/>
          <w:numId w:val="1"/>
        </w:numPr>
        <w:jc w:val="both"/>
        <w:rPr>
          <w:rStyle w:val="apple-style-span"/>
          <w:rFonts w:ascii="Times New Roman" w:hAnsi="Times New Roman"/>
        </w:rPr>
      </w:pPr>
      <w:r>
        <w:rPr>
          <w:rStyle w:val="apple-style-span"/>
          <w:rFonts w:ascii="Times New Roman" w:hAnsi="Times New Roman"/>
        </w:rPr>
        <w:t xml:space="preserve">Premio extraordinario de licenciatura 1997/1998 de la Facultad de Derecho de la Universidad de Córdoba.  Título de la tesina: Pactos indemnizatorios en la extinción del contrato de alta dirección por voluntad de la empresa. (Recientes pronunciamientos del TS).  </w:t>
      </w:r>
    </w:p>
    <w:p w14:paraId="38123756" w14:textId="77777777" w:rsidR="00D14963" w:rsidRDefault="00CC79B0">
      <w:pPr>
        <w:numPr>
          <w:ilvl w:val="0"/>
          <w:numId w:val="1"/>
        </w:numPr>
        <w:jc w:val="both"/>
        <w:rPr>
          <w:rStyle w:val="apple-style-span"/>
          <w:rFonts w:ascii="Times New Roman" w:hAnsi="Times New Roman"/>
        </w:rPr>
      </w:pPr>
      <w:r>
        <w:rPr>
          <w:rStyle w:val="apple-style-span"/>
          <w:rFonts w:ascii="Times New Roman" w:hAnsi="Times New Roman"/>
        </w:rPr>
        <w:t>Especial reconocimiento (seleccionado para la fase final) al trabajo "Empresas de trabajo temporal y contratación indefinida: los periodos de inactividad", presentado a la XII Convocatoria del Premio Estudios Financieros (2002).</w:t>
      </w:r>
    </w:p>
    <w:p w14:paraId="475FCF4D" w14:textId="77777777" w:rsidR="00D14963" w:rsidRDefault="00CC79B0">
      <w:pPr>
        <w:numPr>
          <w:ilvl w:val="0"/>
          <w:numId w:val="1"/>
        </w:numPr>
        <w:jc w:val="both"/>
        <w:rPr>
          <w:rStyle w:val="apple-style-span"/>
          <w:rFonts w:ascii="Times New Roman" w:hAnsi="Times New Roman"/>
        </w:rPr>
      </w:pPr>
      <w:r>
        <w:rPr>
          <w:rStyle w:val="apple-style-span"/>
          <w:rFonts w:ascii="Times New Roman" w:hAnsi="Times New Roman"/>
        </w:rPr>
        <w:t>Especial reconocimiento (distinción con un accésit) a la comunicación "Las consecuencias laborales y de Seguridad Social derivadas de la extinción de la relación laboral del inmigrante irregular (Comentario a la STSJ de Castilla y León de 17 de noviembre de 2005), presentada a las XVII Jornadas Catalanas de Derecho Social (2006).</w:t>
      </w:r>
    </w:p>
    <w:p w14:paraId="48B53C03" w14:textId="77777777" w:rsidR="00D14963" w:rsidRDefault="00CC79B0">
      <w:pPr>
        <w:numPr>
          <w:ilvl w:val="0"/>
          <w:numId w:val="1"/>
        </w:numPr>
        <w:jc w:val="both"/>
        <w:rPr>
          <w:rStyle w:val="apple-style-span"/>
          <w:rFonts w:ascii="Times New Roman" w:hAnsi="Times New Roman"/>
        </w:rPr>
      </w:pPr>
      <w:r>
        <w:rPr>
          <w:rStyle w:val="apple-style-span"/>
          <w:rFonts w:ascii="Times New Roman" w:hAnsi="Times New Roman"/>
        </w:rPr>
        <w:t>Reconocimiento por la Comisión de Evaluación de Complementos Autonómicos de 2 puntos (puntuación máxima) por sexenio de investigación, como consecuencia de una valoración global por periodos (99- 04) de 7,70.</w:t>
      </w:r>
    </w:p>
    <w:p w14:paraId="0DC8CC73" w14:textId="77777777" w:rsidR="00D14963" w:rsidRDefault="00CC79B0">
      <w:pPr>
        <w:numPr>
          <w:ilvl w:val="0"/>
          <w:numId w:val="1"/>
        </w:numPr>
        <w:jc w:val="both"/>
        <w:rPr>
          <w:rStyle w:val="apple-style-span"/>
          <w:rFonts w:ascii="Times New Roman" w:hAnsi="Times New Roman"/>
        </w:rPr>
      </w:pPr>
      <w:r>
        <w:rPr>
          <w:rStyle w:val="apple-style-span"/>
          <w:rFonts w:ascii="Times New Roman" w:hAnsi="Times New Roman"/>
        </w:rPr>
        <w:t>Miembro del Comité Científico del IV Seminario sobre la Investigación de la inmigración extranjera en Andalucía que, organizado por la Consejería de Gobernación de la Junta de Andalucía y la Universidad  de Córdoba, celebrado del 3 al 5 de octubre de 2005.</w:t>
      </w:r>
    </w:p>
    <w:p w14:paraId="2CC881DF" w14:textId="5804B53C" w:rsidR="00D14963" w:rsidRDefault="00CC79B0">
      <w:pPr>
        <w:numPr>
          <w:ilvl w:val="0"/>
          <w:numId w:val="1"/>
        </w:numPr>
        <w:jc w:val="both"/>
        <w:rPr>
          <w:rStyle w:val="apple-style-span"/>
          <w:rFonts w:ascii="Times New Roman" w:hAnsi="Times New Roman"/>
        </w:rPr>
      </w:pPr>
      <w:r>
        <w:rPr>
          <w:rStyle w:val="apple-style-span"/>
          <w:rFonts w:ascii="Times New Roman" w:hAnsi="Times New Roman"/>
        </w:rPr>
        <w:t>Coordinación de la publicación de las aportaciones realizadas en el Seminario sobre Movimientos migratorios transnacionales y mercado de trabajo, celebrado en Córdoba, del 8 al 10 de noviembre de 2006.</w:t>
      </w:r>
    </w:p>
    <w:p w14:paraId="46E70F14" w14:textId="47A9AD04" w:rsidR="00D14963" w:rsidRDefault="00CC79B0">
      <w:pPr>
        <w:numPr>
          <w:ilvl w:val="0"/>
          <w:numId w:val="1"/>
        </w:numPr>
        <w:spacing w:after="0" w:line="240" w:lineRule="auto"/>
        <w:jc w:val="both"/>
        <w:rPr>
          <w:rStyle w:val="apple-style-span"/>
          <w:rFonts w:ascii="Times New Roman" w:hAnsi="Times New Roman"/>
        </w:rPr>
      </w:pPr>
      <w:r>
        <w:rPr>
          <w:rStyle w:val="apple-style-span"/>
          <w:rFonts w:ascii="Times New Roman" w:hAnsi="Times New Roman"/>
        </w:rPr>
        <w:t>Dirección académica del Seminario "Comunidades Autónomas e Inmigración. Competencias y funciones a la luz del nuevo Estatuto de Autonomía de Andalucía", organizado por la Consejería de Gobernación de la Junta de Andalucía y la Universidad de Córdoba, y celebrado  del 7 al 9 de noviembre de 2007.</w:t>
      </w:r>
    </w:p>
    <w:p w14:paraId="48CEDD12" w14:textId="77777777" w:rsidR="00E47F08" w:rsidRDefault="00E47F08" w:rsidP="00E47F08">
      <w:pPr>
        <w:spacing w:after="0" w:line="240" w:lineRule="auto"/>
        <w:jc w:val="both"/>
        <w:rPr>
          <w:rFonts w:ascii="Times New Roman" w:hAnsi="Times New Roman"/>
        </w:rPr>
      </w:pPr>
    </w:p>
    <w:sectPr w:rsidR="00E47F08">
      <w:headerReference w:type="default" r:id="rId9"/>
      <w:footerReference w:type="default" r:id="rId10"/>
      <w:pgSz w:w="11906" w:h="16838"/>
      <w:pgMar w:top="851" w:right="1418" w:bottom="851" w:left="1418" w:header="170" w:footer="197" w:gutter="0"/>
      <w:pgNumType w:start="1"/>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57D83B" w14:textId="77777777" w:rsidR="00CC79B0" w:rsidRDefault="00CC79B0">
      <w:pPr>
        <w:spacing w:after="0" w:line="240" w:lineRule="auto"/>
      </w:pPr>
      <w:r>
        <w:separator/>
      </w:r>
    </w:p>
  </w:endnote>
  <w:endnote w:type="continuationSeparator" w:id="0">
    <w:p w14:paraId="1E63727B" w14:textId="77777777" w:rsidR="00CC79B0" w:rsidRDefault="00CC79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roman"/>
    <w:pitch w:val="variable"/>
  </w:font>
  <w:font w:name="Liberation Sans">
    <w:altName w:val="Arial"/>
    <w:panose1 w:val="020B0604020202020204"/>
    <w:charset w:val="00"/>
    <w:family w:val="swiss"/>
    <w:pitch w:val="variable"/>
  </w:font>
  <w:font w:name="Microsoft YaHei">
    <w:panose1 w:val="020B0503020204020204"/>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sto MT">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61AFBF" w14:textId="44B4BD98" w:rsidR="00D14963" w:rsidRDefault="00CC79B0">
    <w:pPr>
      <w:pStyle w:val="Piedepgina"/>
      <w:jc w:val="center"/>
      <w:rPr>
        <w:rFonts w:ascii="Arial" w:hAnsi="Arial" w:cs="Arial"/>
      </w:rPr>
    </w:pPr>
    <w:r>
      <w:rPr>
        <w:rFonts w:ascii="Arial" w:hAnsi="Arial" w:cs="Arial"/>
      </w:rPr>
      <w:fldChar w:fldCharType="begin"/>
    </w:r>
    <w:r>
      <w:rPr>
        <w:rFonts w:ascii="Arial" w:hAnsi="Arial" w:cs="Arial"/>
      </w:rPr>
      <w:instrText>PAGE</w:instrText>
    </w:r>
    <w:r>
      <w:rPr>
        <w:rFonts w:ascii="Arial" w:hAnsi="Arial" w:cs="Arial"/>
      </w:rPr>
      <w:fldChar w:fldCharType="separate"/>
    </w:r>
    <w:r w:rsidR="005F5E82">
      <w:rPr>
        <w:rFonts w:ascii="Arial" w:hAnsi="Arial" w:cs="Arial"/>
        <w:noProof/>
      </w:rPr>
      <w:t>1</w:t>
    </w:r>
    <w:r>
      <w:rPr>
        <w:rFonts w:ascii="Arial" w:hAnsi="Arial" w:cs="Arial"/>
      </w:rPr>
      <w:fldChar w:fldCharType="end"/>
    </w:r>
  </w:p>
  <w:p w14:paraId="3A9FFFF0" w14:textId="77777777" w:rsidR="00D14963" w:rsidRDefault="00D14963">
    <w:pPr>
      <w:pStyle w:val="Piedepgina"/>
      <w:jc w:val="center"/>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A8586D" w14:textId="77777777" w:rsidR="00CC79B0" w:rsidRDefault="00CC79B0">
      <w:pPr>
        <w:spacing w:after="0" w:line="240" w:lineRule="auto"/>
      </w:pPr>
      <w:r>
        <w:separator/>
      </w:r>
    </w:p>
  </w:footnote>
  <w:footnote w:type="continuationSeparator" w:id="0">
    <w:p w14:paraId="2697DF3A" w14:textId="77777777" w:rsidR="00CC79B0" w:rsidRDefault="00CC79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011640" w14:textId="040C0853" w:rsidR="00D14963" w:rsidRDefault="00CC79B0">
    <w:pPr>
      <w:pStyle w:val="Encabezado"/>
      <w:ind w:left="-993"/>
    </w:pPr>
    <w:r>
      <w:rPr>
        <w:noProof/>
        <w:lang w:eastAsia="es-ES"/>
      </w:rPr>
      <w:drawing>
        <wp:inline distT="0" distB="0" distL="0" distR="0" wp14:anchorId="33C5677B" wp14:editId="371FA789">
          <wp:extent cx="1299845" cy="388620"/>
          <wp:effectExtent l="0" t="0" r="0" b="0"/>
          <wp:docPr id="1" name="Imagen 17" descr="V:\SGAEI\RRHH\PERSONAL\00_Documento RRHH\LOGOS_MINISTERIO\horizontal_color_blanco_CI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7" descr="V:\SGAEI\RRHH\PERSONAL\00_Documento RRHH\LOGOS_MINISTERIO\horizontal_color_blanco_CIU.png"/>
                  <pic:cNvPicPr>
                    <a:picLocks noChangeAspect="1" noChangeArrowheads="1"/>
                  </pic:cNvPicPr>
                </pic:nvPicPr>
                <pic:blipFill>
                  <a:blip r:embed="rId1"/>
                  <a:stretch>
                    <a:fillRect/>
                  </a:stretch>
                </pic:blipFill>
                <pic:spPr bwMode="auto">
                  <a:xfrm>
                    <a:off x="0" y="0"/>
                    <a:ext cx="1299845" cy="388620"/>
                  </a:xfrm>
                  <a:prstGeom prst="rect">
                    <a:avLst/>
                  </a:prstGeom>
                </pic:spPr>
              </pic:pic>
            </a:graphicData>
          </a:graphic>
        </wp:inline>
      </w:drawing>
    </w:r>
    <w:r w:rsidR="005F5E82">
      <w:rPr>
        <w:noProof/>
        <w:lang w:eastAsia="es-ES"/>
      </w:rPr>
      <mc:AlternateContent>
        <mc:Choice Requires="wps">
          <w:drawing>
            <wp:anchor distT="0" distB="0" distL="114300" distR="114300" simplePos="0" relativeHeight="251657728" behindDoc="1" locked="0" layoutInCell="1" allowOverlap="1" wp14:anchorId="6AF0074F" wp14:editId="51174056">
              <wp:simplePos x="0" y="0"/>
              <wp:positionH relativeFrom="column">
                <wp:posOffset>662305</wp:posOffset>
              </wp:positionH>
              <wp:positionV relativeFrom="paragraph">
                <wp:posOffset>8255</wp:posOffset>
              </wp:positionV>
              <wp:extent cx="5934075" cy="390525"/>
              <wp:effectExtent l="0" t="0" r="9525" b="9525"/>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34075" cy="390525"/>
                      </a:xfrm>
                      <a:prstGeom prst="rect">
                        <a:avLst/>
                      </a:prstGeom>
                      <a:solidFill>
                        <a:srgbClr val="FFFF00"/>
                      </a:solidFill>
                      <a:ln w="635">
                        <a:solidFill>
                          <a:srgbClr val="000000"/>
                        </a:solidFill>
                      </a:ln>
                    </wps:spPr>
                    <wps:txbx>
                      <w:txbxContent>
                        <w:p w14:paraId="5DCC4CC6" w14:textId="77777777" w:rsidR="00D14963" w:rsidRDefault="00CC79B0">
                          <w:pPr>
                            <w:pStyle w:val="Contenidodelmarco"/>
                            <w:spacing w:after="0" w:line="240" w:lineRule="auto"/>
                            <w:jc w:val="center"/>
                            <w:rPr>
                              <w:rFonts w:ascii="Arial Narrow" w:hAnsi="Arial Narrow" w:cs="Arial"/>
                              <w:b/>
                              <w:sz w:val="20"/>
                              <w:szCs w:val="20"/>
                            </w:rPr>
                          </w:pPr>
                          <w:r>
                            <w:rPr>
                              <w:rFonts w:ascii="Arial Narrow" w:hAnsi="Arial Narrow" w:cs="Arial"/>
                              <w:b/>
                              <w:sz w:val="20"/>
                              <w:szCs w:val="20"/>
                            </w:rPr>
                            <w:t xml:space="preserve">CURRÍCULUM ABREVIADO (CVA) – </w:t>
                          </w:r>
                          <w:r>
                            <w:rPr>
                              <w:rFonts w:ascii="Arial Narrow" w:hAnsi="Arial Narrow" w:cs="Arial"/>
                              <w:b/>
                              <w:u w:val="single"/>
                            </w:rPr>
                            <w:t>Extensión máxima: 4 PÁGINAS</w:t>
                          </w:r>
                        </w:p>
                        <w:p w14:paraId="01AA2E10" w14:textId="77777777" w:rsidR="00D14963" w:rsidRDefault="00CC79B0">
                          <w:pPr>
                            <w:pStyle w:val="Contenidodelmarco"/>
                            <w:spacing w:after="0" w:line="240" w:lineRule="auto"/>
                            <w:jc w:val="center"/>
                            <w:rPr>
                              <w:rFonts w:ascii="Arial Narrow" w:hAnsi="Arial Narrow" w:cs="Arial"/>
                              <w:b/>
                              <w:sz w:val="20"/>
                              <w:szCs w:val="20"/>
                            </w:rPr>
                          </w:pPr>
                          <w:r>
                            <w:rPr>
                              <w:rFonts w:ascii="Arial Narrow" w:hAnsi="Arial Narrow" w:cs="Arial"/>
                              <w:b/>
                              <w:sz w:val="20"/>
                              <w:szCs w:val="20"/>
                            </w:rPr>
                            <w:t>Lea detenidamente las instrucciones disponibles en la web de la convocatoria para rellenar correctamente el  CVA</w:t>
                          </w:r>
                        </w:p>
                      </w:txbxContent>
                    </wps:txbx>
                    <wps:bodyPr lIns="91440" tIns="45720" rIns="91440" bIns="45720" anchor="t">
                      <a:noAutofit/>
                    </wps:bodyPr>
                  </wps:wsp>
                </a:graphicData>
              </a:graphic>
              <wp14:sizeRelH relativeFrom="page">
                <wp14:pctWidth>0</wp14:pctWidth>
              </wp14:sizeRelH>
              <wp14:sizeRelV relativeFrom="page">
                <wp14:pctHeight>0</wp14:pctHeight>
              </wp14:sizeRelV>
            </wp:anchor>
          </w:drawing>
        </mc:Choice>
        <mc:Fallback>
          <w:pict>
            <v:shapetype w14:anchorId="6AF0074F" id="_x0000_t202" coordsize="21600,21600" o:spt="202" path="m,l,21600r21600,l21600,xe">
              <v:stroke joinstyle="miter"/>
              <v:path gradientshapeok="t" o:connecttype="rect"/>
            </v:shapetype>
            <v:shape id="Cuadro de texto 2" o:spid="_x0000_s1026" type="#_x0000_t202" style="position:absolute;left:0;text-align:left;margin-left:52.15pt;margin-top:.65pt;width:467.25pt;height:30.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" fillcolor="yellow" strokeweight=".05pt">
              <v:path arrowok="t"/>
              <v:textbox>
                <w:txbxContent>
                  <w:p w14:paraId="5DCC4CC6" w14:textId="77777777" w:rsidR="00D14963" w:rsidRDefault="00CC79B0">
                    <w:pPr>
                      <w:pStyle w:val="Contenidodelmarco"/>
                      <w:spacing w:after="0" w:line="240" w:lineRule="auto"/>
                      <w:jc w:val="center"/>
                      <w:rPr>
                        <w:rFonts w:ascii="Arial Narrow" w:hAnsi="Arial Narrow" w:cs="Arial"/>
                        <w:b/>
                        <w:sz w:val="20"/>
                        <w:szCs w:val="20"/>
                      </w:rPr>
                    </w:pPr>
                    <w:r>
                      <w:rPr>
                        <w:rFonts w:ascii="Arial Narrow" w:hAnsi="Arial Narrow" w:cs="Arial"/>
                        <w:b/>
                        <w:sz w:val="20"/>
                        <w:szCs w:val="20"/>
                      </w:rPr>
                      <w:t xml:space="preserve">CURRÍCULUM ABREVIADO (CVA) – </w:t>
                    </w:r>
                    <w:r>
                      <w:rPr>
                        <w:rFonts w:ascii="Arial Narrow" w:hAnsi="Arial Narrow" w:cs="Arial"/>
                        <w:b/>
                        <w:u w:val="single"/>
                      </w:rPr>
                      <w:t>Extensión máxima: 4 PÁGINAS</w:t>
                    </w:r>
                  </w:p>
                  <w:p w14:paraId="01AA2E10" w14:textId="77777777" w:rsidR="00D14963" w:rsidRDefault="00CC79B0">
                    <w:pPr>
                      <w:pStyle w:val="Contenidodelmarco"/>
                      <w:spacing w:after="0" w:line="240" w:lineRule="auto"/>
                      <w:jc w:val="center"/>
                      <w:rPr>
                        <w:rFonts w:ascii="Arial Narrow" w:hAnsi="Arial Narrow" w:cs="Arial"/>
                        <w:b/>
                        <w:sz w:val="20"/>
                        <w:szCs w:val="20"/>
                      </w:rPr>
                    </w:pPr>
                    <w:r>
                      <w:rPr>
                        <w:rFonts w:ascii="Arial Narrow" w:hAnsi="Arial Narrow" w:cs="Arial"/>
                        <w:b/>
                        <w:sz w:val="20"/>
                        <w:szCs w:val="20"/>
                      </w:rPr>
                      <w:t>Lea detenidamente las instrucciones disponibles en la web de la convocatoria para rellenar correctamente el  CVA</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72B44"/>
    <w:multiLevelType w:val="multilevel"/>
    <w:tmpl w:val="1D82881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04B37BA5"/>
    <w:multiLevelType w:val="multilevel"/>
    <w:tmpl w:val="5B4E20B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0E5505EE"/>
    <w:multiLevelType w:val="multilevel"/>
    <w:tmpl w:val="74C044FC"/>
    <w:lvl w:ilvl="0">
      <w:start w:val="1"/>
      <w:numFmt w:val="bullet"/>
      <w:lvlText w:val=""/>
      <w:lvlJc w:val="left"/>
      <w:pPr>
        <w:ind w:left="720" w:hanging="360"/>
      </w:pPr>
      <w:rPr>
        <w:rFonts w:ascii="Wingdings" w:hAnsi="Wingdings" w:cs="Wingdings"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14192D53"/>
    <w:multiLevelType w:val="multilevel"/>
    <w:tmpl w:val="F1BC6EE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378532CB"/>
    <w:multiLevelType w:val="multilevel"/>
    <w:tmpl w:val="9E5EF88A"/>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41C84A2A"/>
    <w:multiLevelType w:val="multilevel"/>
    <w:tmpl w:val="CC36D9C6"/>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60E0350C"/>
    <w:multiLevelType w:val="multilevel"/>
    <w:tmpl w:val="9102897A"/>
    <w:lvl w:ilvl="0">
      <w:start w:val="1"/>
      <w:numFmt w:val="bullet"/>
      <w:lvlText w:val=""/>
      <w:lvlJc w:val="left"/>
      <w:pPr>
        <w:ind w:left="720" w:hanging="360"/>
      </w:pPr>
      <w:rPr>
        <w:rFonts w:ascii="Wingdings" w:hAnsi="Wingdings" w:cs="Wingdings" w:hint="default"/>
      </w:rPr>
    </w:lvl>
    <w:lvl w:ilvl="1">
      <w:start w:val="1"/>
      <w:numFmt w:val="bullet"/>
      <w:lvlText w:val="-"/>
      <w:lvlJc w:val="left"/>
      <w:pPr>
        <w:ind w:left="1440" w:hanging="360"/>
      </w:pPr>
      <w:rPr>
        <w:rFonts w:ascii="Times New Roman" w:hAnsi="Times New Roman" w:cs="Times New Roman"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7EB130BE"/>
    <w:multiLevelType w:val="multilevel"/>
    <w:tmpl w:val="627E04CA"/>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3"/>
  </w:num>
  <w:num w:numId="2">
    <w:abstractNumId w:val="6"/>
  </w:num>
  <w:num w:numId="3">
    <w:abstractNumId w:val="4"/>
  </w:num>
  <w:num w:numId="4">
    <w:abstractNumId w:val="5"/>
  </w:num>
  <w:num w:numId="5">
    <w:abstractNumId w:val="2"/>
  </w:num>
  <w:num w:numId="6">
    <w:abstractNumId w:val="7"/>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963"/>
    <w:rsid w:val="005F5E82"/>
    <w:rsid w:val="00861271"/>
    <w:rsid w:val="00C33A19"/>
    <w:rsid w:val="00CC79B0"/>
    <w:rsid w:val="00D14963"/>
    <w:rsid w:val="00E47F08"/>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3B7A813"/>
  <w15:docId w15:val="{9F7ABB80-0DE0-4D57-B7C6-152960DFD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S" w:eastAsia="es-E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7A17"/>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link w:val="Encabezado"/>
    <w:uiPriority w:val="99"/>
    <w:qFormat/>
    <w:rsid w:val="00B45F1A"/>
  </w:style>
  <w:style w:type="character" w:customStyle="1" w:styleId="PiedepginaCar">
    <w:name w:val="Pie de página Car"/>
    <w:basedOn w:val="Fuentedeprrafopredeter"/>
    <w:link w:val="Piedepgina"/>
    <w:uiPriority w:val="99"/>
    <w:qFormat/>
    <w:rsid w:val="00B45F1A"/>
  </w:style>
  <w:style w:type="character" w:customStyle="1" w:styleId="TextodegloboCar">
    <w:name w:val="Texto de globo Car"/>
    <w:link w:val="Textodeglobo"/>
    <w:uiPriority w:val="99"/>
    <w:semiHidden/>
    <w:qFormat/>
    <w:rsid w:val="0025348E"/>
    <w:rPr>
      <w:rFonts w:ascii="Tahoma" w:hAnsi="Tahoma" w:cs="Tahoma"/>
      <w:sz w:val="16"/>
      <w:szCs w:val="16"/>
    </w:rPr>
  </w:style>
  <w:style w:type="character" w:customStyle="1" w:styleId="apple-style-span">
    <w:name w:val="apple-style-span"/>
    <w:basedOn w:val="Fuentedeprrafopredeter"/>
    <w:qFormat/>
    <w:rsid w:val="00B270E0"/>
  </w:style>
  <w:style w:type="character" w:customStyle="1" w:styleId="textonormal">
    <w:name w:val="texto_normal"/>
    <w:basedOn w:val="Fuentedeprrafopredeter"/>
    <w:qFormat/>
    <w:rsid w:val="00EF39CF"/>
  </w:style>
  <w:style w:type="character" w:customStyle="1" w:styleId="ancho60p">
    <w:name w:val="ancho60p"/>
    <w:basedOn w:val="Fuentedeprrafopredeter"/>
    <w:qFormat/>
    <w:rsid w:val="00EF39CF"/>
  </w:style>
  <w:style w:type="character" w:customStyle="1" w:styleId="ancho100p">
    <w:name w:val="ancho100p"/>
    <w:basedOn w:val="Fuentedeprrafopredeter"/>
    <w:qFormat/>
    <w:rsid w:val="00220F98"/>
  </w:style>
  <w:style w:type="character" w:customStyle="1" w:styleId="ancho98p">
    <w:name w:val="ancho98p"/>
    <w:basedOn w:val="Fuentedeprrafopredeter"/>
    <w:qFormat/>
    <w:rsid w:val="00220F98"/>
  </w:style>
  <w:style w:type="character" w:customStyle="1" w:styleId="EnlacedeInternet">
    <w:name w:val="Enlace de Internet"/>
    <w:rPr>
      <w:color w:val="000080"/>
      <w:u w:val="single"/>
    </w:rPr>
  </w:style>
  <w:style w:type="paragraph" w:styleId="Ttulo">
    <w:name w:val="Title"/>
    <w:basedOn w:val="Normal"/>
    <w:next w:val="Textoindependiente"/>
    <w:qFormat/>
    <w:pPr>
      <w:keepNext/>
      <w:spacing w:before="240" w:after="120"/>
    </w:pPr>
    <w:rPr>
      <w:rFonts w:ascii="Liberation Sans" w:eastAsia="Microsoft YaHei" w:hAnsi="Liberation Sans" w:cs="Lucida Sans"/>
      <w:sz w:val="28"/>
      <w:szCs w:val="28"/>
    </w:rPr>
  </w:style>
  <w:style w:type="paragraph" w:styleId="Textoindependiente">
    <w:name w:val="Body Text"/>
    <w:basedOn w:val="Normal"/>
    <w:pPr>
      <w:spacing w:after="140"/>
    </w:pPr>
  </w:style>
  <w:style w:type="paragraph" w:styleId="Lista">
    <w:name w:val="List"/>
    <w:basedOn w:val="Textoindependiente"/>
    <w:rPr>
      <w:rFonts w:cs="Lucida Sans"/>
    </w:rPr>
  </w:style>
  <w:style w:type="paragraph" w:styleId="Descripcin">
    <w:name w:val="caption"/>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 w:type="paragraph" w:customStyle="1" w:styleId="Cabeceraypie">
    <w:name w:val="Cabecera y pie"/>
    <w:basedOn w:val="Normal"/>
    <w:qFormat/>
  </w:style>
  <w:style w:type="paragraph" w:styleId="Encabezado">
    <w:name w:val="header"/>
    <w:basedOn w:val="Normal"/>
    <w:link w:val="EncabezadoCar"/>
    <w:uiPriority w:val="99"/>
    <w:unhideWhenUsed/>
    <w:rsid w:val="00B45F1A"/>
    <w:pPr>
      <w:tabs>
        <w:tab w:val="center" w:pos="4252"/>
        <w:tab w:val="right" w:pos="8504"/>
      </w:tabs>
      <w:spacing w:after="0" w:line="240" w:lineRule="auto"/>
    </w:pPr>
  </w:style>
  <w:style w:type="paragraph" w:styleId="Piedepgina">
    <w:name w:val="footer"/>
    <w:basedOn w:val="Normal"/>
    <w:link w:val="PiedepginaCar"/>
    <w:uiPriority w:val="99"/>
    <w:unhideWhenUsed/>
    <w:rsid w:val="00B45F1A"/>
    <w:pPr>
      <w:tabs>
        <w:tab w:val="center" w:pos="4252"/>
        <w:tab w:val="right" w:pos="8504"/>
      </w:tabs>
      <w:spacing w:after="0" w:line="240" w:lineRule="auto"/>
    </w:pPr>
  </w:style>
  <w:style w:type="paragraph" w:styleId="Prrafodelista">
    <w:name w:val="List Paragraph"/>
    <w:basedOn w:val="Normal"/>
    <w:uiPriority w:val="34"/>
    <w:qFormat/>
    <w:rsid w:val="000906AE"/>
    <w:pPr>
      <w:ind w:left="720"/>
      <w:contextualSpacing/>
    </w:pPr>
  </w:style>
  <w:style w:type="paragraph" w:styleId="Textodeglobo">
    <w:name w:val="Balloon Text"/>
    <w:basedOn w:val="Normal"/>
    <w:link w:val="TextodegloboCar"/>
    <w:uiPriority w:val="99"/>
    <w:semiHidden/>
    <w:unhideWhenUsed/>
    <w:qFormat/>
    <w:rsid w:val="0025348E"/>
    <w:pPr>
      <w:spacing w:after="0" w:line="240" w:lineRule="auto"/>
    </w:pPr>
    <w:rPr>
      <w:rFonts w:ascii="Tahoma" w:hAnsi="Tahoma" w:cs="Tahoma"/>
      <w:sz w:val="16"/>
      <w:szCs w:val="16"/>
    </w:rPr>
  </w:style>
  <w:style w:type="paragraph" w:customStyle="1" w:styleId="Contenidodelmarco">
    <w:name w:val="Contenido del marco"/>
    <w:basedOn w:val="Normal"/>
    <w:qFormat/>
  </w:style>
  <w:style w:type="table" w:styleId="Tablaconcuadrcula">
    <w:name w:val="Table Grid"/>
    <w:basedOn w:val="Tablanormal"/>
    <w:uiPriority w:val="59"/>
    <w:rsid w:val="001406E4"/>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62514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orcid.org/0000-0002-9604-903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AEB0B0-CF5F-49A0-AE7C-95A89659A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1688</Words>
  <Characters>9289</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Ministerio de Ciencia e Innovación</Company>
  <LinksUpToDate>false</LinksUpToDate>
  <CharactersWithSpaces>10956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Franch Meneu, M.Asuncion</dc:creator>
  <dc:description/>
  <cp:lastModifiedBy>Rafaela Porras Serrano</cp:lastModifiedBy>
  <cp:revision>2</cp:revision>
  <cp:lastPrinted>2014-07-31T14:59:00Z</cp:lastPrinted>
  <dcterms:created xsi:type="dcterms:W3CDTF">2020-10-26T12:35:00Z</dcterms:created>
  <dcterms:modified xsi:type="dcterms:W3CDTF">2020-10-26T12:35:00Z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Ministerio de Ciencia e Innovación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