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3CB2" w14:textId="436AEAC2" w:rsidR="00CA4995" w:rsidRPr="00187B02" w:rsidRDefault="00187B02" w:rsidP="00187B02">
      <w:pPr>
        <w:tabs>
          <w:tab w:val="left" w:pos="259"/>
          <w:tab w:val="right" w:pos="9746"/>
        </w:tabs>
        <w:ind w:left="142"/>
        <w:rPr>
          <w:b/>
          <w:bCs/>
          <w:sz w:val="36"/>
          <w:szCs w:val="36"/>
        </w:rPr>
      </w:pPr>
      <w:r w:rsidRPr="00187B02">
        <w:rPr>
          <w:b/>
          <w:bCs/>
          <w:sz w:val="36"/>
          <w:szCs w:val="36"/>
        </w:rPr>
        <w:t>Curso 2025/26</w:t>
      </w:r>
      <w:r w:rsidRPr="00187B02">
        <w:rPr>
          <w:b/>
          <w:bCs/>
          <w:sz w:val="36"/>
          <w:szCs w:val="36"/>
        </w:rPr>
        <w:tab/>
      </w:r>
      <w:r w:rsidR="00CA4995" w:rsidRPr="00187B02">
        <w:rPr>
          <w:b/>
          <w:bCs/>
          <w:noProof/>
          <w:sz w:val="36"/>
          <w:szCs w:val="36"/>
        </w:rPr>
        <w:drawing>
          <wp:inline distT="0" distB="0" distL="0" distR="0" wp14:anchorId="6DC68881" wp14:editId="01297088">
            <wp:extent cx="2437765" cy="786765"/>
            <wp:effectExtent l="0" t="0" r="0" b="0"/>
            <wp:docPr id="4" name="Imagen 4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840"/>
      </w:tblGrid>
      <w:tr w:rsidR="00CA4995" w:rsidRPr="00CA4995" w14:paraId="25276DAD" w14:textId="77777777" w:rsidTr="00CA4995">
        <w:trPr>
          <w:trHeight w:val="302"/>
        </w:trPr>
        <w:tc>
          <w:tcPr>
            <w:tcW w:w="2646" w:type="dxa"/>
            <w:vAlign w:val="center"/>
          </w:tcPr>
          <w:p w14:paraId="4403176E" w14:textId="77777777" w:rsidR="00CA4995" w:rsidRPr="00CA4995" w:rsidRDefault="00CA4995" w:rsidP="00CA4995">
            <w:pPr>
              <w:pStyle w:val="Sinespaciado"/>
              <w:rPr>
                <w:b/>
                <w:bCs/>
              </w:rPr>
            </w:pPr>
            <w:r w:rsidRPr="00CA4995">
              <w:rPr>
                <w:b/>
                <w:bCs/>
                <w:noProof/>
                <w:lang w:eastAsia="es-ES"/>
              </w:rPr>
              <w:t>Nombre y Apellidos:</w:t>
            </w:r>
          </w:p>
        </w:tc>
        <w:tc>
          <w:tcPr>
            <w:tcW w:w="6840" w:type="dxa"/>
            <w:vAlign w:val="center"/>
          </w:tcPr>
          <w:p w14:paraId="45A6A57C" w14:textId="3A7BB798" w:rsidR="00CA4995" w:rsidRPr="00CA4995" w:rsidRDefault="00E65961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Alfonso Olaya Abril</w:t>
            </w:r>
          </w:p>
        </w:tc>
      </w:tr>
      <w:tr w:rsidR="00CA4995" w:rsidRPr="00CA4995" w14:paraId="5DCE186B" w14:textId="77777777" w:rsidTr="00CA4995">
        <w:trPr>
          <w:trHeight w:val="265"/>
        </w:trPr>
        <w:tc>
          <w:tcPr>
            <w:tcW w:w="2646" w:type="dxa"/>
            <w:vAlign w:val="center"/>
          </w:tcPr>
          <w:p w14:paraId="74A74156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Categoría Profesional:</w:t>
            </w:r>
          </w:p>
        </w:tc>
        <w:tc>
          <w:tcPr>
            <w:tcW w:w="6840" w:type="dxa"/>
            <w:vAlign w:val="center"/>
          </w:tcPr>
          <w:p w14:paraId="4F8288FC" w14:textId="7F3EAFCE" w:rsidR="00CA4995" w:rsidRPr="00CA4995" w:rsidRDefault="00E65961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Funcionario de carrera</w:t>
            </w:r>
          </w:p>
        </w:tc>
      </w:tr>
      <w:tr w:rsidR="00E65961" w:rsidRPr="00CA4995" w14:paraId="79B94209" w14:textId="77777777" w:rsidTr="00CA4995">
        <w:trPr>
          <w:trHeight w:val="269"/>
        </w:trPr>
        <w:tc>
          <w:tcPr>
            <w:tcW w:w="2646" w:type="dxa"/>
            <w:vAlign w:val="center"/>
          </w:tcPr>
          <w:p w14:paraId="468B97CA" w14:textId="77777777" w:rsidR="00E65961" w:rsidRPr="00CA4995" w:rsidRDefault="00E65961" w:rsidP="00E65961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Cargo:</w:t>
            </w:r>
          </w:p>
        </w:tc>
        <w:tc>
          <w:tcPr>
            <w:tcW w:w="6840" w:type="dxa"/>
            <w:vAlign w:val="center"/>
          </w:tcPr>
          <w:p w14:paraId="744AEED4" w14:textId="74E4B3C6" w:rsidR="00E65961" w:rsidRPr="00CA4995" w:rsidRDefault="00E65961" w:rsidP="00E65961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Profesor titular</w:t>
            </w:r>
          </w:p>
        </w:tc>
      </w:tr>
      <w:tr w:rsidR="00E65961" w:rsidRPr="00CA4995" w14:paraId="085A8605" w14:textId="77777777" w:rsidTr="00CA4995">
        <w:trPr>
          <w:trHeight w:val="273"/>
        </w:trPr>
        <w:tc>
          <w:tcPr>
            <w:tcW w:w="2646" w:type="dxa"/>
            <w:vAlign w:val="center"/>
          </w:tcPr>
          <w:p w14:paraId="5327393F" w14:textId="77777777" w:rsidR="00E65961" w:rsidRPr="00CA4995" w:rsidRDefault="00E65961" w:rsidP="00E65961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Departamento:</w:t>
            </w:r>
          </w:p>
        </w:tc>
        <w:tc>
          <w:tcPr>
            <w:tcW w:w="6840" w:type="dxa"/>
            <w:vAlign w:val="center"/>
          </w:tcPr>
          <w:p w14:paraId="22CC07F8" w14:textId="46AAC91E" w:rsidR="00E65961" w:rsidRPr="00CA4995" w:rsidRDefault="00E65961" w:rsidP="00E65961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Bioquímica y biología molecular</w:t>
            </w:r>
          </w:p>
        </w:tc>
      </w:tr>
      <w:tr w:rsidR="00E65961" w:rsidRPr="00CA4995" w14:paraId="3A207624" w14:textId="77777777" w:rsidTr="00CA4995">
        <w:trPr>
          <w:trHeight w:val="276"/>
        </w:trPr>
        <w:tc>
          <w:tcPr>
            <w:tcW w:w="2646" w:type="dxa"/>
            <w:vAlign w:val="center"/>
          </w:tcPr>
          <w:p w14:paraId="13D427E4" w14:textId="77777777" w:rsidR="00E65961" w:rsidRPr="00CA4995" w:rsidRDefault="00E65961" w:rsidP="00E65961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Área de Conocimiento:</w:t>
            </w:r>
          </w:p>
        </w:tc>
        <w:tc>
          <w:tcPr>
            <w:tcW w:w="6840" w:type="dxa"/>
            <w:vAlign w:val="center"/>
          </w:tcPr>
          <w:p w14:paraId="4D0B0089" w14:textId="1A10DB5D" w:rsidR="00E65961" w:rsidRPr="00CA4995" w:rsidRDefault="00E65961" w:rsidP="00E65961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Bioquímica y biología molecular</w:t>
            </w:r>
          </w:p>
        </w:tc>
      </w:tr>
      <w:tr w:rsidR="00E65961" w:rsidRPr="00CA4995" w14:paraId="66807ECA" w14:textId="77777777" w:rsidTr="00CA4995">
        <w:trPr>
          <w:trHeight w:val="155"/>
        </w:trPr>
        <w:tc>
          <w:tcPr>
            <w:tcW w:w="2646" w:type="dxa"/>
            <w:vAlign w:val="center"/>
          </w:tcPr>
          <w:p w14:paraId="0A610BE9" w14:textId="77777777" w:rsidR="00E65961" w:rsidRPr="00CA4995" w:rsidRDefault="00E65961" w:rsidP="00E65961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Teléfono:</w:t>
            </w:r>
          </w:p>
        </w:tc>
        <w:tc>
          <w:tcPr>
            <w:tcW w:w="6840" w:type="dxa"/>
            <w:vAlign w:val="center"/>
          </w:tcPr>
          <w:p w14:paraId="55B04629" w14:textId="5AF01527" w:rsidR="00E65961" w:rsidRPr="00CA4995" w:rsidRDefault="00E65961" w:rsidP="00E65961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699050440</w:t>
            </w:r>
          </w:p>
        </w:tc>
      </w:tr>
      <w:tr w:rsidR="00E65961" w:rsidRPr="00CA4995" w14:paraId="356DBC24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A8CFACD" w14:textId="70112158" w:rsidR="00E65961" w:rsidRPr="00CA4995" w:rsidRDefault="00E65961" w:rsidP="00E65961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Correo electrónico:</w:t>
            </w:r>
          </w:p>
        </w:tc>
        <w:tc>
          <w:tcPr>
            <w:tcW w:w="6840" w:type="dxa"/>
          </w:tcPr>
          <w:p w14:paraId="3D7E6822" w14:textId="46EC3FBD" w:rsidR="00E65961" w:rsidRPr="00CA4995" w:rsidRDefault="00E65961" w:rsidP="00E65961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B22olaba@uco.es</w:t>
            </w:r>
          </w:p>
        </w:tc>
      </w:tr>
      <w:tr w:rsidR="00E65961" w:rsidRPr="00CA4995" w14:paraId="4E570719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7F67B73" w14:textId="2F87A760" w:rsidR="00E65961" w:rsidRPr="00CA4995" w:rsidRDefault="00E65961" w:rsidP="00E65961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Orcid iD:</w:t>
            </w:r>
          </w:p>
        </w:tc>
        <w:tc>
          <w:tcPr>
            <w:tcW w:w="6840" w:type="dxa"/>
          </w:tcPr>
          <w:p w14:paraId="75EADE17" w14:textId="31E5246E" w:rsidR="00E65961" w:rsidRPr="00CA4995" w:rsidRDefault="00E65961" w:rsidP="00E65961">
            <w:pPr>
              <w:pStyle w:val="Sinespaciado"/>
              <w:rPr>
                <w:rFonts w:cs="Arial"/>
                <w:sz w:val="20"/>
                <w:szCs w:val="20"/>
              </w:rPr>
            </w:pPr>
            <w:r w:rsidRPr="00E65961">
              <w:rPr>
                <w:rFonts w:cs="Arial"/>
                <w:sz w:val="20"/>
                <w:szCs w:val="20"/>
              </w:rPr>
              <w:t>0000-0002-8961-1099</w:t>
            </w:r>
          </w:p>
        </w:tc>
      </w:tr>
      <w:tr w:rsidR="00E65961" w:rsidRPr="00CA4995" w14:paraId="16E8E735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2496338A" w14:textId="5043C258" w:rsidR="00E65961" w:rsidRPr="00CA4995" w:rsidRDefault="00E65961" w:rsidP="00E65961">
            <w:pPr>
              <w:pStyle w:val="Sinespaciado"/>
              <w:rPr>
                <w:b/>
                <w:bCs/>
                <w:noProof/>
                <w:lang w:eastAsia="es-ES"/>
              </w:rPr>
            </w:pPr>
            <w:r>
              <w:rPr>
                <w:b/>
                <w:bCs/>
                <w:noProof/>
                <w:lang w:eastAsia="es-ES"/>
              </w:rPr>
              <w:t>Página web</w:t>
            </w:r>
            <w:r w:rsidRPr="00CA4995">
              <w:rPr>
                <w:b/>
                <w:bCs/>
                <w:noProof/>
                <w:lang w:eastAsia="es-ES"/>
              </w:rPr>
              <w:t>:</w:t>
            </w:r>
          </w:p>
        </w:tc>
        <w:tc>
          <w:tcPr>
            <w:tcW w:w="6840" w:type="dxa"/>
          </w:tcPr>
          <w:p w14:paraId="3143F3B3" w14:textId="77777777" w:rsidR="00E65961" w:rsidRPr="00CA4995" w:rsidRDefault="00E65961" w:rsidP="00E65961">
            <w:pPr>
              <w:pStyle w:val="Sinespaciado"/>
              <w:rPr>
                <w:rFonts w:cs="Arial"/>
                <w:sz w:val="20"/>
                <w:szCs w:val="20"/>
              </w:rPr>
            </w:pPr>
          </w:p>
        </w:tc>
      </w:tr>
    </w:tbl>
    <w:p w14:paraId="18A9C54F" w14:textId="40A9DE3C" w:rsidR="00CA4995" w:rsidRDefault="00CA4995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CA4995" w:rsidRPr="00F5501C" w14:paraId="1198D971" w14:textId="77777777" w:rsidTr="00CA4995">
        <w:trPr>
          <w:trHeight w:val="340"/>
        </w:trPr>
        <w:tc>
          <w:tcPr>
            <w:tcW w:w="9486" w:type="dxa"/>
            <w:vAlign w:val="center"/>
          </w:tcPr>
          <w:p w14:paraId="62B9EBD3" w14:textId="77777777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Líneas de Investigación</w:t>
            </w:r>
          </w:p>
        </w:tc>
      </w:tr>
      <w:tr w:rsidR="00CA4995" w:rsidRPr="00F5501C" w14:paraId="3622C84C" w14:textId="77777777" w:rsidTr="00CA4995">
        <w:trPr>
          <w:trHeight w:val="603"/>
        </w:trPr>
        <w:tc>
          <w:tcPr>
            <w:tcW w:w="9486" w:type="dxa"/>
            <w:vAlign w:val="center"/>
          </w:tcPr>
          <w:p w14:paraId="27E5CE29" w14:textId="3934CEF2" w:rsidR="00CA4995" w:rsidRPr="00726E9A" w:rsidRDefault="00E65961" w:rsidP="00CA4995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Metabolismo del nitrógeno en bacterias. Metabolismo de cianuro y cianato en bacterias. Genómica y proteómica de Paracoccus. Biodegradación de plásticos sintéticos por bacterias.</w:t>
            </w:r>
          </w:p>
        </w:tc>
      </w:tr>
      <w:tr w:rsidR="00CA4995" w:rsidRPr="00F5501C" w14:paraId="70D7B6A1" w14:textId="77777777" w:rsidTr="00CA4995">
        <w:trPr>
          <w:trHeight w:val="276"/>
        </w:trPr>
        <w:tc>
          <w:tcPr>
            <w:tcW w:w="9486" w:type="dxa"/>
            <w:vAlign w:val="center"/>
          </w:tcPr>
          <w:p w14:paraId="6F6AD76F" w14:textId="18CEC081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Proyectos</w:t>
            </w: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 xml:space="preserve"> de Investigación</w:t>
            </w:r>
          </w:p>
        </w:tc>
      </w:tr>
      <w:tr w:rsidR="00CA4995" w:rsidRPr="003D17E5" w14:paraId="1997467F" w14:textId="77777777" w:rsidTr="00CA4995">
        <w:trPr>
          <w:trHeight w:val="612"/>
        </w:trPr>
        <w:tc>
          <w:tcPr>
            <w:tcW w:w="9486" w:type="dxa"/>
            <w:vAlign w:val="center"/>
          </w:tcPr>
          <w:p w14:paraId="73BB685C" w14:textId="0A80BFC8" w:rsidR="00CA4995" w:rsidRDefault="00E65961" w:rsidP="00E65961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E65961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RTI2018-099573-B-I00</w:t>
            </w:r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. </w:t>
            </w:r>
            <w:r w:rsidRPr="00E65961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Explorando más allá de las aproximaciones ómicas aplicadas a la eliminación por bacterias de cianuro y otros compuestos nitrogenados presentes en residuos líquidos industriales</w:t>
            </w:r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.</w:t>
            </w:r>
          </w:p>
          <w:p w14:paraId="3BEDE38D" w14:textId="77777777" w:rsidR="00E65961" w:rsidRDefault="00E65961" w:rsidP="00E65961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</w:p>
          <w:p w14:paraId="03CD6D1C" w14:textId="7C151373" w:rsidR="00E65961" w:rsidRDefault="00E65961" w:rsidP="00E65961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E65961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PID2021-124174OB-I00</w:t>
            </w:r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. </w:t>
            </w:r>
            <w:r w:rsidRPr="00E65961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Ómicas y otras herramientas innovativas aplicadas a la biodegradación bacteriana de plásticos sintéticos</w:t>
            </w:r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.</w:t>
            </w:r>
          </w:p>
          <w:p w14:paraId="2C6E2EBE" w14:textId="77777777" w:rsidR="00E65961" w:rsidRDefault="00E65961" w:rsidP="00E65961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</w:p>
          <w:p w14:paraId="242042A3" w14:textId="688C41E2" w:rsidR="00E65961" w:rsidRDefault="00E65961" w:rsidP="00E65961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E65961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P19-RT-3048</w:t>
            </w:r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. </w:t>
            </w:r>
            <w:r w:rsidRPr="00E65961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Cianuro, arsénico y metales: Biorremediación de residuos de la minería y la industria joyera mediante bacterias</w:t>
            </w:r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.</w:t>
            </w:r>
          </w:p>
          <w:p w14:paraId="493FA20B" w14:textId="77777777" w:rsidR="00E65961" w:rsidRDefault="00E65961" w:rsidP="00E65961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</w:p>
          <w:p w14:paraId="6234AB2A" w14:textId="56952152" w:rsidR="00E65961" w:rsidRPr="00726E9A" w:rsidRDefault="00E65961" w:rsidP="00E65961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E65961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P.P. 2019 Submod. 1.3</w:t>
            </w:r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. </w:t>
            </w:r>
            <w:r w:rsidRPr="00E65961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Caracterización por proteómica cuantitativa libre de marcaje y búsqueda de conexiones entre la fijación biológica de nitrógeno y la movilización de fósforo</w:t>
            </w:r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.</w:t>
            </w:r>
          </w:p>
        </w:tc>
      </w:tr>
      <w:tr w:rsidR="00CA4995" w:rsidRPr="00F5501C" w14:paraId="2F53B601" w14:textId="77777777" w:rsidTr="00CA4995">
        <w:trPr>
          <w:trHeight w:val="239"/>
        </w:trPr>
        <w:tc>
          <w:tcPr>
            <w:tcW w:w="9486" w:type="dxa"/>
            <w:vAlign w:val="center"/>
          </w:tcPr>
          <w:p w14:paraId="5B78409D" w14:textId="3F2B2E7F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Publicaciones</w:t>
            </w:r>
          </w:p>
        </w:tc>
      </w:tr>
      <w:tr w:rsidR="00CA4995" w:rsidRPr="0073321A" w14:paraId="09B5FC1A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09912AC0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21B0BD" w14:textId="26C1F8F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Co-autor/Co-autores: Martínez-Espinosa RM, Armengaud J, Matallana-Surget S, Olaya-Abril A.</w:t>
            </w:r>
          </w:p>
          <w:p w14:paraId="248603DA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Título del artículo: Editorial: Environmental omics and their biotechnological applications.</w:t>
            </w:r>
          </w:p>
          <w:p w14:paraId="444E76B8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65961">
              <w:rPr>
                <w:rFonts w:ascii="Arial" w:hAnsi="Arial" w:cs="Arial"/>
                <w:sz w:val="20"/>
                <w:szCs w:val="20"/>
                <w:lang w:val="it-IT"/>
              </w:rPr>
              <w:t>Editorial/Título de la revista: Frontiers Media SA/Frontiers in Microbiology.</w:t>
            </w:r>
          </w:p>
          <w:p w14:paraId="112D5759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Número de revista: 8             Año: 2023            Páginas: 14                                           ISSN: 1664-302X</w:t>
            </w:r>
          </w:p>
          <w:p w14:paraId="137CB765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Índice de impacto del año de la publicación, o en su defecto, indicio de calidad: 5,2</w:t>
            </w:r>
          </w:p>
          <w:p w14:paraId="32944ACD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Índice relativo que tenga dentro de su categoría: 38/135 (Q1, Microbiology)</w:t>
            </w:r>
          </w:p>
          <w:p w14:paraId="7E065B48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DOI: 10.3389/fmicb.2023.1129721.</w:t>
            </w:r>
          </w:p>
          <w:p w14:paraId="54E8DDEE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Fuente: JCR.</w:t>
            </w:r>
          </w:p>
          <w:p w14:paraId="4482F4D5" w14:textId="77777777" w:rsid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8B5D71" w14:textId="6EF777E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Co-autor/Co-autores: Biełło KA, Cabello P, Rodríguez-Caballero G, Sáez LP, Luque-Almagro VM, Roldán MD, Olaya-Abril A*, Moreno-Vivián C.</w:t>
            </w:r>
          </w:p>
          <w:p w14:paraId="288C76C4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Título del artículo: Proteomic Analysis of Arsenic Resistance during Cyanide Assimilation by Pseudomonas pseudoalcaligenes CECT 5344</w:t>
            </w:r>
          </w:p>
          <w:p w14:paraId="2FB51851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Editorial/Título de la revista: MDPI/International Journal of Molecular Sciences.</w:t>
            </w:r>
          </w:p>
          <w:p w14:paraId="5172B078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Número de revista: 13             Año: 2023            Páginas: 8:7232                                           ISSN: 1661-6596</w:t>
            </w:r>
          </w:p>
          <w:p w14:paraId="37E8CBA7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Índice de impacto del año de la publicación, o en su defecto, indicio de calidad: 5,6</w:t>
            </w:r>
          </w:p>
          <w:p w14:paraId="78D99A42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Índice relativo que tenga dentro de su categoría: 66/285 (Q1, Biochemistry and molecular biology)</w:t>
            </w:r>
          </w:p>
          <w:p w14:paraId="4EFFD8F3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DOI: 10.3390/ijms24087232</w:t>
            </w:r>
          </w:p>
          <w:p w14:paraId="4832CF99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Fuente: JCR.</w:t>
            </w:r>
          </w:p>
          <w:p w14:paraId="6052FAF2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71F200" w14:textId="26BFC1AB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lastRenderedPageBreak/>
              <w:t>Co-autor/Co-autores: Biełło KA, Olaya-Abril A*, Cabello P, Rodríguez-Caballero G, Sáez LP, Moreno-Vivián C, Luque-Almagro VM, Roldán MD.</w:t>
            </w:r>
          </w:p>
          <w:p w14:paraId="305DCCE8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Título del artículo: Quantitative Proteomic Analysis of Cyanide and Mercury Detoxification by Pseudomonas pseudoalcaligenes CECT 5344.</w:t>
            </w:r>
          </w:p>
          <w:p w14:paraId="198AB122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Editorial/Título de la revista: Amer Soc Microbiology / Microbiology Spectrum</w:t>
            </w:r>
          </w:p>
          <w:p w14:paraId="78BA1873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Número de revista: 17             Año: 2023            Páginas: 11                                           ISSN: 2165-0497</w:t>
            </w:r>
          </w:p>
          <w:p w14:paraId="1648EF56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Índice de impacto del año de la publicación, o en su defecto, indicio de calidad: 3,7</w:t>
            </w:r>
          </w:p>
          <w:p w14:paraId="07127DF4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Índice relativo que tenga dentro de su categoría: 62/135 (Q2, Microbiology)</w:t>
            </w:r>
          </w:p>
          <w:p w14:paraId="6B76A698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DOI: 10.1128/spectrum.00553-23</w:t>
            </w:r>
          </w:p>
          <w:p w14:paraId="41E214D2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Fuente: JCR.</w:t>
            </w:r>
          </w:p>
          <w:p w14:paraId="1945A305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8BAB6B" w14:textId="25759490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Co-autor/Co-autores: Olaya-Abril A*, Biełło KA, Rodríguez-Caballero G, Cabello P, Sáez LP, Moreno-Vivián C, Luque-Almagro VM, Roldán MD.</w:t>
            </w:r>
          </w:p>
          <w:p w14:paraId="4C3BEEFA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5961">
              <w:rPr>
                <w:rFonts w:ascii="Arial" w:hAnsi="Arial" w:cs="Arial"/>
                <w:sz w:val="20"/>
                <w:szCs w:val="20"/>
                <w:lang w:val="en-US"/>
              </w:rPr>
              <w:t>Título del artículo: Bacterial tolerance and detoxification of cyanide, arsenic and heavy metals: Holistic approaches applied to bioremediation of industrial complex wastes</w:t>
            </w:r>
          </w:p>
          <w:p w14:paraId="324BD51F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Editorial/Título de la revista: MDPI/International Journal of Molecular Sciences.</w:t>
            </w:r>
          </w:p>
          <w:p w14:paraId="223BDA1C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Número de revista:  25            Año: 2024            Páginas: 4456                                           ISSN: 1751-7915</w:t>
            </w:r>
          </w:p>
          <w:p w14:paraId="6D2B2176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Índice de impacto del año de la publicación, o en su defecto, indicio de calidad: 5,7</w:t>
            </w:r>
          </w:p>
          <w:p w14:paraId="2AAF9C09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Índice relativo que tenga dentro de su categoría: 26/158 (Q1, Biotechnology and Applied microbiology)</w:t>
            </w:r>
          </w:p>
          <w:p w14:paraId="2E01DBF7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DOI: 10.1111/1751-7915.14399</w:t>
            </w:r>
          </w:p>
          <w:p w14:paraId="18604C47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Fuente: JCR.</w:t>
            </w:r>
          </w:p>
          <w:p w14:paraId="415B0673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134EA1" w14:textId="2AD1312E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Co-autor/Co-autores: Sáez LP, Rodríguez-Caballero G, Olaya-Abril A*, Cabello P, , Moreno-Vivián C, Roldán MD, Luque-Almagro VM.</w:t>
            </w:r>
          </w:p>
          <w:p w14:paraId="6BBC630F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Título del artículo: Genomic Insights into Cyanide Biodegradation in the Pseudomonas Genus</w:t>
            </w:r>
          </w:p>
          <w:p w14:paraId="353117DB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Editorial/Título de la revista: Wiley/Microbial Biotechnology.</w:t>
            </w:r>
          </w:p>
          <w:p w14:paraId="376D0B7E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Número de revista:  17            Año: 2024            Páginas: ----                                           ISSN: 1751-7915</w:t>
            </w:r>
          </w:p>
          <w:p w14:paraId="6D5EBFEE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Índice de impacto del año de la publicación, o en su defecto, indicio de calidad: 5,6</w:t>
            </w:r>
          </w:p>
          <w:p w14:paraId="66F60186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Índice relativo que tenga dentro de su categoría: 66/285 (Q1, Biochemistry and molecular biology)</w:t>
            </w:r>
          </w:p>
          <w:p w14:paraId="06A55976" w14:textId="77777777" w:rsidR="00E65961" w:rsidRPr="00E65961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DOI: 10.1111/1751-7915.14399</w:t>
            </w:r>
          </w:p>
          <w:p w14:paraId="397A1E94" w14:textId="1065A6F0" w:rsidR="00CA4995" w:rsidRPr="00F5501C" w:rsidRDefault="00E65961" w:rsidP="00E65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Fuente: JCR.</w:t>
            </w:r>
          </w:p>
          <w:p w14:paraId="66EF69AD" w14:textId="2165EA82" w:rsidR="00CA4995" w:rsidRPr="00F84AEF" w:rsidRDefault="00CA4995" w:rsidP="00CA4995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</w:pPr>
          </w:p>
        </w:tc>
      </w:tr>
      <w:tr w:rsidR="00CA4995" w:rsidRPr="0073321A" w14:paraId="49126F96" w14:textId="77777777" w:rsidTr="00CA4995">
        <w:trPr>
          <w:trHeight w:val="275"/>
        </w:trPr>
        <w:tc>
          <w:tcPr>
            <w:tcW w:w="9486" w:type="dxa"/>
            <w:vAlign w:val="center"/>
          </w:tcPr>
          <w:p w14:paraId="4E165046" w14:textId="25AA641E" w:rsidR="00CA4995" w:rsidRPr="00F5501C" w:rsidRDefault="00CA4995" w:rsidP="00CA4995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lastRenderedPageBreak/>
              <w:t>Otras Actividades Profesionales</w:t>
            </w:r>
          </w:p>
        </w:tc>
      </w:tr>
      <w:tr w:rsidR="00CA4995" w:rsidRPr="0073321A" w14:paraId="01887CEB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215B9CD5" w14:textId="59D4B660" w:rsidR="00E65961" w:rsidRPr="00E65961" w:rsidRDefault="00E65961" w:rsidP="00E659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Olaya </w:t>
            </w:r>
            <w:r w:rsidRPr="00E65961">
              <w:rPr>
                <w:rFonts w:ascii="Arial" w:hAnsi="Arial" w:cs="Arial"/>
                <w:sz w:val="20"/>
                <w:szCs w:val="20"/>
              </w:rPr>
              <w:t>ha publicado 35 documentos recogidos en Scopus (como Olaya-Abril, A., y Olaya A.,). De ellos, 31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61">
              <w:rPr>
                <w:rFonts w:ascii="Arial" w:hAnsi="Arial" w:cs="Arial"/>
                <w:sz w:val="20"/>
                <w:szCs w:val="20"/>
              </w:rPr>
              <w:t>se corresponden a artículos publicados en revistas internacionales de revisión por pares de reconocido prestigio.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61">
              <w:rPr>
                <w:rFonts w:ascii="Arial" w:hAnsi="Arial" w:cs="Arial"/>
                <w:sz w:val="20"/>
                <w:szCs w:val="20"/>
              </w:rPr>
              <w:t>Veinticinco de dichos artículos son del primer tercil, de los cuales 1 está en el primer decil de su categoría, 21 están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61">
              <w:rPr>
                <w:rFonts w:ascii="Arial" w:hAnsi="Arial" w:cs="Arial"/>
                <w:sz w:val="20"/>
                <w:szCs w:val="20"/>
              </w:rPr>
              <w:t>en el primer cuartil de su categoría y 8 en el segundo cuartil de su categoría según el índice JCR de 2022. Otros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61">
              <w:rPr>
                <w:rFonts w:ascii="Arial" w:hAnsi="Arial" w:cs="Arial"/>
                <w:sz w:val="20"/>
                <w:szCs w:val="20"/>
              </w:rPr>
              <w:t>dos artículos se encuadran en el tercer cuartil de su categoría. El solicitante ocupa la posición de primer autor 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61">
              <w:rPr>
                <w:rFonts w:ascii="Arial" w:hAnsi="Arial" w:cs="Arial"/>
                <w:sz w:val="20"/>
                <w:szCs w:val="20"/>
              </w:rPr>
              <w:t>16 artículos, de los cuales 11 son de primer cuartil, 4 de segundo cuartil (dos de ellos de primer tercil) y uno más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61">
              <w:rPr>
                <w:rFonts w:ascii="Arial" w:hAnsi="Arial" w:cs="Arial"/>
                <w:sz w:val="20"/>
                <w:szCs w:val="20"/>
              </w:rPr>
              <w:t>del tercer cuartil. Además, ha sido autor de correspondencia en tres artículos, uno de ellos del primer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61">
              <w:rPr>
                <w:rFonts w:ascii="Arial" w:hAnsi="Arial" w:cs="Arial"/>
                <w:sz w:val="20"/>
                <w:szCs w:val="20"/>
              </w:rPr>
              <w:t>cuartil y otros dos del segundo cuartil (y primer tercil), firmando en estos dos últimos como último autor. Asimismo,</w:t>
            </w:r>
          </w:p>
          <w:p w14:paraId="10453F40" w14:textId="5FA1F3A2" w:rsidR="00E65961" w:rsidRPr="00E65961" w:rsidRDefault="00E65961" w:rsidP="00E659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ocupa también la posición de segundo firmante en tres artículos publicados en revistas del primer cuartil. Estos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61">
              <w:rPr>
                <w:rFonts w:ascii="Arial" w:hAnsi="Arial" w:cs="Arial"/>
                <w:sz w:val="20"/>
                <w:szCs w:val="20"/>
              </w:rPr>
              <w:t>trabajos emanan de la participación del solicitante en 11 proyectos de investigación, 6 de ámbito nacional, 4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61">
              <w:rPr>
                <w:rFonts w:ascii="Arial" w:hAnsi="Arial" w:cs="Arial"/>
                <w:sz w:val="20"/>
                <w:szCs w:val="20"/>
              </w:rPr>
              <w:t>ámbito autonómico y 1 de ámbito local, donde fue autor principal. Dichos trabajos han sido citados por 546 documentos, con 736 citas totales y que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61">
              <w:rPr>
                <w:rFonts w:ascii="Arial" w:hAnsi="Arial" w:cs="Arial"/>
                <w:sz w:val="20"/>
                <w:szCs w:val="20"/>
              </w:rPr>
              <w:t>permite que el índice H del solicitante sea de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65961">
              <w:rPr>
                <w:rFonts w:ascii="Arial" w:hAnsi="Arial" w:cs="Arial"/>
                <w:sz w:val="20"/>
                <w:szCs w:val="20"/>
              </w:rPr>
              <w:t xml:space="preserve"> a día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E65961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65961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65961">
              <w:rPr>
                <w:rFonts w:ascii="Arial" w:hAnsi="Arial" w:cs="Arial"/>
                <w:sz w:val="20"/>
                <w:szCs w:val="20"/>
              </w:rPr>
              <w:t>. De ellas, 321 se corresponden a las citas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61">
              <w:rPr>
                <w:rFonts w:ascii="Arial" w:hAnsi="Arial" w:cs="Arial"/>
                <w:sz w:val="20"/>
                <w:szCs w:val="20"/>
              </w:rPr>
              <w:t>recibidas en el periodo de tiempo correspondiente a 2020-2024. De los actualmente 35 documentos recogidos en Scopus, ha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61">
              <w:rPr>
                <w:rFonts w:ascii="Arial" w:hAnsi="Arial" w:cs="Arial"/>
                <w:sz w:val="20"/>
                <w:szCs w:val="20"/>
              </w:rPr>
              <w:t>colaborado con 73 científicos, tanto nacionales como internacionales, a modo de coautoría, presentando un 37 %</w:t>
            </w:r>
          </w:p>
          <w:p w14:paraId="25444FE0" w14:textId="77777777" w:rsidR="00CA4995" w:rsidRDefault="00E65961" w:rsidP="00E659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de colaboración internacional (según Scopus). El 48,1 % de los trabajos (13) se corresponden a documentos 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61">
              <w:rPr>
                <w:rFonts w:ascii="Arial" w:hAnsi="Arial" w:cs="Arial"/>
                <w:sz w:val="20"/>
                <w:szCs w:val="20"/>
              </w:rPr>
              <w:t>percentiles de citación superior (Scopus) y el 76 % (19 trabajos) se encuentran en el 25 % de revistas principales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61">
              <w:rPr>
                <w:rFonts w:ascii="Arial" w:hAnsi="Arial" w:cs="Arial"/>
                <w:sz w:val="20"/>
                <w:szCs w:val="20"/>
              </w:rPr>
              <w:t>según CiteScore.</w:t>
            </w:r>
          </w:p>
          <w:p w14:paraId="39FC6E34" w14:textId="634B236E" w:rsidR="00E65961" w:rsidRPr="00E65961" w:rsidRDefault="00E65961" w:rsidP="00E659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cuanto a actividades docentes, ha participado</w:t>
            </w:r>
            <w:r w:rsidRPr="00E65961">
              <w:rPr>
                <w:rFonts w:ascii="Arial" w:hAnsi="Arial" w:cs="Arial"/>
                <w:sz w:val="20"/>
                <w:szCs w:val="20"/>
              </w:rPr>
              <w:t xml:space="preserve"> como doctor en 9 cursos académicos (2014/2015 – 2023/2024) con 1371,7 horas de docencia</w:t>
            </w:r>
            <w:r>
              <w:rPr>
                <w:rFonts w:ascii="Arial" w:hAnsi="Arial" w:cs="Arial"/>
                <w:sz w:val="20"/>
                <w:szCs w:val="20"/>
              </w:rPr>
              <w:t xml:space="preserve">. Toda su experiencia docente </w:t>
            </w:r>
            <w:r w:rsidRPr="00E65961">
              <w:rPr>
                <w:rFonts w:ascii="Arial" w:hAnsi="Arial" w:cs="Arial"/>
                <w:sz w:val="20"/>
                <w:szCs w:val="20"/>
              </w:rPr>
              <w:t>se ha desarrollado desde el Departamento de Bioquímica y Biología Molecular de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61">
              <w:rPr>
                <w:rFonts w:ascii="Arial" w:hAnsi="Arial" w:cs="Arial"/>
                <w:sz w:val="20"/>
                <w:szCs w:val="20"/>
              </w:rPr>
              <w:t>Universidad de Córdoba distribuidas en 11 asignaturas (Bioquímica (Grado de Veterinaria), Fundamentos del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61">
              <w:rPr>
                <w:rFonts w:ascii="Arial" w:hAnsi="Arial" w:cs="Arial"/>
                <w:sz w:val="20"/>
                <w:szCs w:val="20"/>
              </w:rPr>
              <w:t xml:space="preserve">Estudio de la Experimentación </w:t>
            </w:r>
            <w:r w:rsidRPr="00E65961">
              <w:rPr>
                <w:rFonts w:ascii="Arial" w:hAnsi="Arial" w:cs="Arial"/>
                <w:sz w:val="20"/>
                <w:szCs w:val="20"/>
              </w:rPr>
              <w:lastRenderedPageBreak/>
              <w:t>Biológica, Bioquímica Experimental II, Proteómica, Biotecnología Ambiental,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61">
              <w:rPr>
                <w:rFonts w:ascii="Arial" w:hAnsi="Arial" w:cs="Arial"/>
                <w:sz w:val="20"/>
                <w:szCs w:val="20"/>
              </w:rPr>
              <w:t>Bioquímica (Grado de Biología), Fundamentos de Bioquímica, Biotecnología Ambiental y Biotecnología,</w:t>
            </w:r>
          </w:p>
          <w:p w14:paraId="3C681B86" w14:textId="4F0CF623" w:rsidR="00E65961" w:rsidRPr="00E65961" w:rsidRDefault="00E65961" w:rsidP="00E659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Biotecnología Ambiental y Biorremediación, Fotobioquímica y Fotobiología, Biología Molecular de Sistemas)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61">
              <w:rPr>
                <w:rFonts w:ascii="Arial" w:hAnsi="Arial" w:cs="Arial"/>
                <w:sz w:val="20"/>
                <w:szCs w:val="20"/>
              </w:rPr>
              <w:t>englobadas en 4 Grados distintos (Bioquímica, Biología, Ciencias Ambientales y Veterinaria) y 2 Másteres (Máster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61">
              <w:rPr>
                <w:rFonts w:ascii="Arial" w:hAnsi="Arial" w:cs="Arial"/>
                <w:sz w:val="20"/>
                <w:szCs w:val="20"/>
              </w:rPr>
              <w:t>en Biotecnología y Máster en Investigación Biomédica Traslacional). De ellas, gran parte de la docencia impartida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61">
              <w:rPr>
                <w:rFonts w:ascii="Arial" w:hAnsi="Arial" w:cs="Arial"/>
                <w:sz w:val="20"/>
                <w:szCs w:val="20"/>
              </w:rPr>
              <w:t>en Biotecnología Ambiental (Grado de Ciencias Ambientales) y la de Biología Molecular de Sistemas (Grado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61">
              <w:rPr>
                <w:rFonts w:ascii="Arial" w:hAnsi="Arial" w:cs="Arial"/>
                <w:sz w:val="20"/>
                <w:szCs w:val="20"/>
              </w:rPr>
              <w:t>Bioquímica) se encuentran dentro del plan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61">
              <w:rPr>
                <w:rFonts w:ascii="Arial" w:hAnsi="Arial" w:cs="Arial"/>
                <w:sz w:val="20"/>
                <w:szCs w:val="20"/>
              </w:rPr>
              <w:t>plurilingüismo de la Universidad de Córdoba, impartiéndose en inglés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61">
              <w:rPr>
                <w:rFonts w:ascii="Arial" w:hAnsi="Arial" w:cs="Arial"/>
                <w:sz w:val="20"/>
                <w:szCs w:val="20"/>
              </w:rPr>
              <w:t>y con una alta afluencia de estudiantes del programa ERASMUS.</w:t>
            </w:r>
          </w:p>
          <w:p w14:paraId="634FA562" w14:textId="710996FA" w:rsidR="00E65961" w:rsidRPr="00F5501C" w:rsidRDefault="00E65961" w:rsidP="00E659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5961">
              <w:rPr>
                <w:rFonts w:ascii="Arial" w:hAnsi="Arial" w:cs="Arial"/>
                <w:sz w:val="20"/>
                <w:szCs w:val="20"/>
              </w:rPr>
              <w:t>De toda la docencia impartida, 325,7 horas se corresponden con docencia impartida en teoría (T) y 1053,2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61">
              <w:rPr>
                <w:rFonts w:ascii="Arial" w:hAnsi="Arial" w:cs="Arial"/>
                <w:sz w:val="20"/>
                <w:szCs w:val="20"/>
              </w:rPr>
              <w:t>horas se corresponden a docencia impartida en sesiones prácticas (de laboratorio y de aula) (P). Atendiendo a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61">
              <w:rPr>
                <w:rFonts w:ascii="Arial" w:hAnsi="Arial" w:cs="Arial"/>
                <w:sz w:val="20"/>
                <w:szCs w:val="20"/>
              </w:rPr>
              <w:t xml:space="preserve">docencia impartida según el puesto ocupado, como becario FPU </w:t>
            </w:r>
            <w:r>
              <w:rPr>
                <w:rFonts w:ascii="Arial" w:hAnsi="Arial" w:cs="Arial"/>
                <w:sz w:val="20"/>
                <w:szCs w:val="20"/>
              </w:rPr>
              <w:t>impartió</w:t>
            </w:r>
            <w:r w:rsidRPr="00E65961">
              <w:rPr>
                <w:rFonts w:ascii="Arial" w:hAnsi="Arial" w:cs="Arial"/>
                <w:sz w:val="20"/>
                <w:szCs w:val="20"/>
              </w:rPr>
              <w:t xml:space="preserve"> 1,5 h T y 70,2 h P, como contratado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61">
              <w:rPr>
                <w:rFonts w:ascii="Arial" w:hAnsi="Arial" w:cs="Arial"/>
                <w:sz w:val="20"/>
                <w:szCs w:val="20"/>
              </w:rPr>
              <w:t>postdoctoral, 37 h P, como Profesor Sustituto Interino, 148,5 h T y 422,5 h P, como Profesor Contratado Doctor, 50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961">
              <w:rPr>
                <w:rFonts w:ascii="Arial" w:hAnsi="Arial" w:cs="Arial"/>
                <w:sz w:val="20"/>
                <w:szCs w:val="20"/>
              </w:rPr>
              <w:t>h T y 173,5 h P y como Profesor Titular, 127 h T y 350 h P</w:t>
            </w:r>
            <w:r>
              <w:rPr>
                <w:rFonts w:ascii="Arial" w:hAnsi="Arial" w:cs="Arial"/>
                <w:sz w:val="20"/>
                <w:szCs w:val="20"/>
              </w:rPr>
              <w:t>. Asimismo, ha dirigido 9 TFM y 12 TFG y ha publicado varios artículos y libros de índole docente.</w:t>
            </w:r>
          </w:p>
        </w:tc>
      </w:tr>
    </w:tbl>
    <w:p w14:paraId="0EC2D033" w14:textId="77777777" w:rsidR="00CA4995" w:rsidRDefault="00CA4995"/>
    <w:sectPr w:rsidR="00CA4995" w:rsidSect="00CA49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C58AA"/>
    <w:multiLevelType w:val="hybridMultilevel"/>
    <w:tmpl w:val="51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41839"/>
    <w:multiLevelType w:val="hybridMultilevel"/>
    <w:tmpl w:val="1280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65076"/>
    <w:multiLevelType w:val="hybridMultilevel"/>
    <w:tmpl w:val="E542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11537">
    <w:abstractNumId w:val="2"/>
  </w:num>
  <w:num w:numId="2" w16cid:durableId="1170951403">
    <w:abstractNumId w:val="1"/>
  </w:num>
  <w:num w:numId="3" w16cid:durableId="36919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95"/>
    <w:rsid w:val="00004E75"/>
    <w:rsid w:val="000102FD"/>
    <w:rsid w:val="00057846"/>
    <w:rsid w:val="00075E89"/>
    <w:rsid w:val="000825B3"/>
    <w:rsid w:val="000963F4"/>
    <w:rsid w:val="000C2DC5"/>
    <w:rsid w:val="000D5E2A"/>
    <w:rsid w:val="000F2B14"/>
    <w:rsid w:val="001649CB"/>
    <w:rsid w:val="00187B02"/>
    <w:rsid w:val="00197C98"/>
    <w:rsid w:val="001D0AFD"/>
    <w:rsid w:val="00215246"/>
    <w:rsid w:val="00225615"/>
    <w:rsid w:val="00241904"/>
    <w:rsid w:val="00250A88"/>
    <w:rsid w:val="002734DE"/>
    <w:rsid w:val="002B2BA0"/>
    <w:rsid w:val="002F77FD"/>
    <w:rsid w:val="003020CC"/>
    <w:rsid w:val="00315345"/>
    <w:rsid w:val="00317B78"/>
    <w:rsid w:val="00333380"/>
    <w:rsid w:val="0035125E"/>
    <w:rsid w:val="00393972"/>
    <w:rsid w:val="003A1872"/>
    <w:rsid w:val="003A27B9"/>
    <w:rsid w:val="003D2C12"/>
    <w:rsid w:val="004263A0"/>
    <w:rsid w:val="004447AA"/>
    <w:rsid w:val="004775CF"/>
    <w:rsid w:val="0048254A"/>
    <w:rsid w:val="00482819"/>
    <w:rsid w:val="004B7AD3"/>
    <w:rsid w:val="004D70C8"/>
    <w:rsid w:val="00532F04"/>
    <w:rsid w:val="00540FA8"/>
    <w:rsid w:val="005504A5"/>
    <w:rsid w:val="00575FD0"/>
    <w:rsid w:val="005974AF"/>
    <w:rsid w:val="005A46D5"/>
    <w:rsid w:val="005A58FE"/>
    <w:rsid w:val="005E56B6"/>
    <w:rsid w:val="005F4334"/>
    <w:rsid w:val="00624624"/>
    <w:rsid w:val="006455EF"/>
    <w:rsid w:val="0065346A"/>
    <w:rsid w:val="006610E2"/>
    <w:rsid w:val="0067487E"/>
    <w:rsid w:val="006A4494"/>
    <w:rsid w:val="006A49F7"/>
    <w:rsid w:val="006A54AF"/>
    <w:rsid w:val="006B2F9C"/>
    <w:rsid w:val="006E7D70"/>
    <w:rsid w:val="006F517B"/>
    <w:rsid w:val="006F5ED8"/>
    <w:rsid w:val="00702434"/>
    <w:rsid w:val="00705FDB"/>
    <w:rsid w:val="00711541"/>
    <w:rsid w:val="00721873"/>
    <w:rsid w:val="0074276E"/>
    <w:rsid w:val="00767C2B"/>
    <w:rsid w:val="00782532"/>
    <w:rsid w:val="007864C3"/>
    <w:rsid w:val="007B1E69"/>
    <w:rsid w:val="007C0BB7"/>
    <w:rsid w:val="007D41A0"/>
    <w:rsid w:val="00800BD2"/>
    <w:rsid w:val="0080227B"/>
    <w:rsid w:val="00850C80"/>
    <w:rsid w:val="0086027D"/>
    <w:rsid w:val="00892B22"/>
    <w:rsid w:val="008B4D06"/>
    <w:rsid w:val="008B628F"/>
    <w:rsid w:val="008C12F3"/>
    <w:rsid w:val="008C2ED0"/>
    <w:rsid w:val="008C52B7"/>
    <w:rsid w:val="008D041A"/>
    <w:rsid w:val="008D39A0"/>
    <w:rsid w:val="008F21D8"/>
    <w:rsid w:val="00907B8F"/>
    <w:rsid w:val="009255ED"/>
    <w:rsid w:val="00940B6B"/>
    <w:rsid w:val="00964C42"/>
    <w:rsid w:val="00986C2D"/>
    <w:rsid w:val="009C1A33"/>
    <w:rsid w:val="009C4960"/>
    <w:rsid w:val="009D1AF6"/>
    <w:rsid w:val="009F21BF"/>
    <w:rsid w:val="00A0041B"/>
    <w:rsid w:val="00A02412"/>
    <w:rsid w:val="00A23773"/>
    <w:rsid w:val="00A2477B"/>
    <w:rsid w:val="00A42B7F"/>
    <w:rsid w:val="00A56D5B"/>
    <w:rsid w:val="00AA1172"/>
    <w:rsid w:val="00AE3063"/>
    <w:rsid w:val="00B307D4"/>
    <w:rsid w:val="00B60C73"/>
    <w:rsid w:val="00B70EC1"/>
    <w:rsid w:val="00B812FC"/>
    <w:rsid w:val="00BF005A"/>
    <w:rsid w:val="00C207EA"/>
    <w:rsid w:val="00C35EF0"/>
    <w:rsid w:val="00C4513E"/>
    <w:rsid w:val="00C57FC4"/>
    <w:rsid w:val="00C82146"/>
    <w:rsid w:val="00C94EFB"/>
    <w:rsid w:val="00CA4995"/>
    <w:rsid w:val="00CB0C32"/>
    <w:rsid w:val="00CC50E0"/>
    <w:rsid w:val="00CD0F9A"/>
    <w:rsid w:val="00D9656C"/>
    <w:rsid w:val="00DA0C35"/>
    <w:rsid w:val="00DB7E1E"/>
    <w:rsid w:val="00DC5AA5"/>
    <w:rsid w:val="00DD25E0"/>
    <w:rsid w:val="00DE1278"/>
    <w:rsid w:val="00DF7219"/>
    <w:rsid w:val="00E12D53"/>
    <w:rsid w:val="00E25D0D"/>
    <w:rsid w:val="00E65961"/>
    <w:rsid w:val="00E67633"/>
    <w:rsid w:val="00E95AA5"/>
    <w:rsid w:val="00F12C40"/>
    <w:rsid w:val="00F31B67"/>
    <w:rsid w:val="00F64873"/>
    <w:rsid w:val="00F908D3"/>
    <w:rsid w:val="00FA55C8"/>
    <w:rsid w:val="00FD0873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2E1F"/>
  <w15:chartTrackingRefBased/>
  <w15:docId w15:val="{CC182377-F956-B749-A655-2FA97603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995"/>
    <w:pPr>
      <w:spacing w:after="200" w:line="276" w:lineRule="auto"/>
    </w:pPr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2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49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49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49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49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49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49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49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2D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C2DC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CA4995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4995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4995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4995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4995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4995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A4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499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9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499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CA49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4995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CA4995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49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4995"/>
    <w:rPr>
      <w:i/>
      <w:iCs/>
      <w:color w:val="365F91" w:themeColor="accent1" w:themeShade="BF"/>
      <w:kern w:val="0"/>
      <w:sz w:val="22"/>
      <w:szCs w:val="22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CA4995"/>
    <w:rPr>
      <w:b/>
      <w:bCs/>
      <w:smallCaps/>
      <w:color w:val="365F91" w:themeColor="accent1" w:themeShade="BF"/>
      <w:spacing w:val="5"/>
    </w:rPr>
  </w:style>
  <w:style w:type="paragraph" w:styleId="Sinespaciado">
    <w:name w:val="No Spacing"/>
    <w:uiPriority w:val="1"/>
    <w:qFormat/>
    <w:rsid w:val="00CA4995"/>
    <w:rPr>
      <w:rFonts w:eastAsia="Times New Roman"/>
      <w:kern w:val="0"/>
      <w:sz w:val="22"/>
      <w:szCs w:val="22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1271</Words>
  <Characters>6993</Characters>
  <Application>Microsoft Office Word</Application>
  <DocSecurity>0</DocSecurity>
  <Lines>58</Lines>
  <Paragraphs>16</Paragraphs>
  <ScaleCrop>false</ScaleCrop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Gomez</dc:creator>
  <cp:keywords/>
  <dc:description/>
  <cp:lastModifiedBy>Guadalupe Gomez</cp:lastModifiedBy>
  <cp:revision>3</cp:revision>
  <dcterms:created xsi:type="dcterms:W3CDTF">2025-04-30T07:13:00Z</dcterms:created>
  <dcterms:modified xsi:type="dcterms:W3CDTF">2025-05-04T18:32:00Z</dcterms:modified>
</cp:coreProperties>
</file>