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0F037813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6C38E1">
        <w:rPr>
          <w:b/>
          <w:bCs/>
          <w:sz w:val="36"/>
          <w:szCs w:val="36"/>
        </w:rPr>
        <w:instrText xml:space="preserve"> INCLUDEPICTURE "C:\\Users\\guadalupe\\Library\\Group Containers\\UBF8T346G9.ms\\WebArchiveCopyPasteTempFiles\\com.microsoft.Word\\ALiytD7Bb97pIFpeWt3qIi1jaMLStYpDO0Kg4WEcfn+D5M9TCnNmNeMAAAAAElFTkSuQmCC" \* MERGEFORMAT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5C04AB01" w:rsidR="00CA4995" w:rsidRPr="00CA4995" w:rsidRDefault="006C38E1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Mª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Amparo Martínez </w:t>
            </w:r>
            <w:proofErr w:type="spellStart"/>
            <w:r>
              <w:rPr>
                <w:rFonts w:cs="Arial"/>
                <w:sz w:val="20"/>
                <w:szCs w:val="20"/>
              </w:rPr>
              <w:t>Martínez</w:t>
            </w:r>
            <w:proofErr w:type="spellEnd"/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136223AF" w:rsidR="00CA4995" w:rsidRPr="00CA4995" w:rsidRDefault="006C38E1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PDI</w:t>
            </w:r>
          </w:p>
        </w:tc>
      </w:tr>
      <w:tr w:rsidR="006C38E1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4356004F" w:rsidR="006C38E1" w:rsidRPr="00CA4995" w:rsidRDefault="006C38E1" w:rsidP="006C38E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Profesora Titular</w:t>
            </w:r>
          </w:p>
        </w:tc>
      </w:tr>
      <w:tr w:rsidR="006C38E1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0687BCE5" w:rsidR="006C38E1" w:rsidRPr="00CA4995" w:rsidRDefault="006C38E1" w:rsidP="006C38E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6C38E1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14EE0B40" w:rsidR="006C38E1" w:rsidRPr="00CA4995" w:rsidRDefault="006C38E1" w:rsidP="006C38E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Genética</w:t>
            </w:r>
          </w:p>
        </w:tc>
      </w:tr>
      <w:tr w:rsidR="006C38E1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4B23B5C4" w:rsidR="006C38E1" w:rsidRPr="00CA4995" w:rsidRDefault="006C38E1" w:rsidP="006C38E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957218708</w:t>
            </w:r>
          </w:p>
        </w:tc>
      </w:tr>
      <w:tr w:rsidR="006C38E1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01979763" w:rsidR="006C38E1" w:rsidRPr="00CA4995" w:rsidRDefault="006C38E1" w:rsidP="006C38E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Ib2mamaa@uco.es</w:t>
            </w:r>
          </w:p>
        </w:tc>
      </w:tr>
      <w:tr w:rsidR="006C38E1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4BCBF251" w:rsidR="006C38E1" w:rsidRPr="006C38E1" w:rsidRDefault="006C38E1" w:rsidP="006C38E1">
            <w:pPr>
              <w:pStyle w:val="Sinespaciado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6C38E1">
              <w:rPr>
                <w:rFonts w:cs="Arial"/>
                <w:b/>
                <w:bCs/>
                <w:sz w:val="20"/>
                <w:szCs w:val="20"/>
                <w:lang w:val="es-ES"/>
              </w:rPr>
              <w:t>0000-0002-6944-0501</w:t>
            </w:r>
          </w:p>
        </w:tc>
      </w:tr>
      <w:tr w:rsidR="006C38E1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6C38E1" w:rsidRPr="00CA4995" w:rsidRDefault="006C38E1" w:rsidP="006C38E1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141EC157" w:rsidR="006C38E1" w:rsidRPr="00CA4995" w:rsidRDefault="006C38E1" w:rsidP="006C38E1">
            <w:pPr>
              <w:pStyle w:val="Sinespaciado"/>
              <w:rPr>
                <w:rFonts w:cs="Arial"/>
                <w:sz w:val="20"/>
                <w:szCs w:val="20"/>
              </w:rPr>
            </w:pPr>
            <w:r w:rsidRPr="006C38E1">
              <w:rPr>
                <w:rFonts w:cs="Arial"/>
                <w:sz w:val="20"/>
                <w:szCs w:val="20"/>
              </w:rPr>
              <w:t>https://www.uco.es/genetica/es/personal/profesorado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1B41E8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1B41E8" w:rsidRDefault="00CA4995" w:rsidP="006C6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noProof/>
                <w:sz w:val="20"/>
                <w:szCs w:val="20"/>
                <w:lang w:eastAsia="es-ES"/>
              </w:rPr>
            </w:pPr>
            <w:r w:rsidRPr="001B41E8">
              <w:rPr>
                <w:rFonts w:asciiTheme="minorHAnsi" w:hAnsiTheme="minorHAnsi" w:cstheme="minorHAnsi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1B41E8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7197D45A" w:rsidR="004C4DCB" w:rsidRPr="001B41E8" w:rsidRDefault="006C38E1" w:rsidP="004C4DCB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>Genética mole</w:t>
            </w:r>
            <w:r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 xml:space="preserve">cular aplicada a la conservación y mejora genética de recursos </w:t>
            </w:r>
            <w:proofErr w:type="spellStart"/>
            <w:r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>zoogenéticos</w:t>
            </w:r>
            <w:proofErr w:type="spellEnd"/>
            <w:r w:rsidR="004C4DCB"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>:</w:t>
            </w:r>
            <w:r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 xml:space="preserve"> </w:t>
            </w:r>
            <w:r w:rsidR="004C4DCB"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 xml:space="preserve"> </w:t>
            </w:r>
            <w:r w:rsidR="004C4DCB"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 xml:space="preserve">Marcadores genéticos, Microsatélites, SNP, PCR, Conservación de </w:t>
            </w:r>
            <w:proofErr w:type="spellStart"/>
            <w:r w:rsidR="004C4DCB"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>AnRG</w:t>
            </w:r>
            <w:proofErr w:type="spellEnd"/>
            <w:r w:rsidR="004C4DCB" w:rsidRPr="001B41E8">
              <w:rPr>
                <w:rFonts w:asciiTheme="minorHAnsi" w:hAnsiTheme="minorHAnsi" w:cstheme="minorHAnsi"/>
                <w:color w:val="7F7F7F"/>
                <w:sz w:val="20"/>
                <w:szCs w:val="20"/>
                <w:lang w:eastAsia="ja-JP"/>
              </w:rPr>
              <w:t>, Distancia genética, Estructura genética de las poblaciones, Razas locales, Selección genética, Genómica</w:t>
            </w:r>
          </w:p>
        </w:tc>
      </w:tr>
      <w:tr w:rsidR="00CA4995" w:rsidRPr="001B41E8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1B41E8" w:rsidRDefault="00CA4995" w:rsidP="006C6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noProof/>
                <w:sz w:val="20"/>
                <w:szCs w:val="20"/>
                <w:lang w:eastAsia="es-ES"/>
              </w:rPr>
            </w:pPr>
            <w:r w:rsidRPr="001B41E8">
              <w:rPr>
                <w:rFonts w:asciiTheme="minorHAnsi" w:hAnsiTheme="minorHAnsi" w:cstheme="minorHAnsi"/>
                <w:b/>
                <w:smallCaps/>
                <w:noProof/>
                <w:sz w:val="20"/>
                <w:szCs w:val="20"/>
                <w:lang w:eastAsia="es-ES"/>
              </w:rPr>
              <w:t>Proyectos de Investigación</w:t>
            </w:r>
          </w:p>
        </w:tc>
      </w:tr>
      <w:tr w:rsidR="00CA4995" w:rsidRPr="001B41E8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1C94BC5A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14"/>
              </w:tabs>
              <w:autoSpaceDE w:val="0"/>
              <w:autoSpaceDN w:val="0"/>
              <w:spacing w:before="47" w:after="0" w:line="285" w:lineRule="auto"/>
              <w:ind w:right="760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Implantación y optimización de técnicas genómicas de trazabilidad racial e individual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en la cadena de producción de productos ibéricos. Consejería de Economía, Conocimiento, Empresas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 Universidad. Junta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de Andalucía. Ref.: PYC20 RE019 UCO. IP: Juan Vicente Delgado Bermejo. De 01-01-2022 a 31-12-2022. 134.300 €.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: 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>Autonómico.</w:t>
            </w:r>
          </w:p>
          <w:p w14:paraId="110A9C65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</w:tabs>
              <w:autoSpaceDE w:val="0"/>
              <w:autoSpaceDN w:val="0"/>
              <w:spacing w:after="0" w:line="285" w:lineRule="auto"/>
              <w:ind w:right="761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Using massive sequencing and genotyping tools to evaluate the impact of genetic variation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on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goat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dairy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and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viability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phenotypes.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European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Regional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Development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Fund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(FEDER)/Ministerio de Ciencia e Innovación - Agencia Estatal de Investigación. Ref.: PID2019-105805RB-I00. IP: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Marcel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Eras.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 01-06-2020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 30-05-2023. 199.166 €</w:t>
            </w:r>
          </w:p>
          <w:p w14:paraId="5F1E7E0B" w14:textId="77777777" w:rsidR="00A80772" w:rsidRPr="001B41E8" w:rsidRDefault="00A80772" w:rsidP="00A80772">
            <w:pPr>
              <w:pStyle w:val="Textoindependiente"/>
              <w:spacing w:line="230" w:lineRule="exact"/>
              <w:rPr>
                <w:rFonts w:asciiTheme="minorHAnsi" w:hAnsiTheme="minorHAnsi" w:cstheme="minorHAnsi"/>
                <w:bCs/>
                <w:spacing w:val="-2"/>
              </w:rPr>
            </w:pPr>
            <w:proofErr w:type="spellStart"/>
            <w:r w:rsidRPr="001B41E8">
              <w:rPr>
                <w:rFonts w:asciiTheme="minorHAnsi" w:hAnsiTheme="minorHAnsi" w:cstheme="minorHAnsi"/>
                <w:bCs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</w:rPr>
              <w:t>:</w:t>
            </w:r>
            <w:r w:rsidRPr="001B41E8">
              <w:rPr>
                <w:rFonts w:asciiTheme="minorHAnsi" w:hAnsiTheme="minorHAnsi" w:cstheme="minorHAnsi"/>
                <w:bCs/>
                <w:spacing w:val="19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2"/>
              </w:rPr>
              <w:t>Nacional.</w:t>
            </w:r>
          </w:p>
          <w:p w14:paraId="105A148C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22"/>
              </w:tabs>
              <w:autoSpaceDE w:val="0"/>
              <w:autoSpaceDN w:val="0"/>
              <w:spacing w:after="0" w:line="285" w:lineRule="auto"/>
              <w:ind w:right="758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CA.RA: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VA.N</w:t>
            </w:r>
            <w:proofErr w:type="gramEnd"/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-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Toward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CAmel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tRAnsnational</w:t>
            </w:r>
            <w:proofErr w:type="spellEnd"/>
            <w:proofErr w:type="gramEnd"/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VAlue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chain.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Unión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Europea.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Ref.: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ERA-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NET ARIMNET2/PCI2016-00011. IP: Juan Vicente Delgado Bermejo. De 31-03-2017 a 30-03-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2020. 67.500 €.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: 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Europeo</w:t>
            </w:r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</w:t>
            </w:r>
          </w:p>
          <w:p w14:paraId="6AD2FC26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26"/>
              </w:tabs>
              <w:autoSpaceDE w:val="0"/>
              <w:autoSpaceDN w:val="0"/>
              <w:spacing w:after="0" w:line="283" w:lineRule="auto"/>
              <w:ind w:right="763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Análisis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genómico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determinación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genética</w:t>
            </w:r>
            <w:r w:rsidRPr="001B41E8">
              <w:rPr>
                <w:rFonts w:asciiTheme="minorHAnsi" w:hAnsiTheme="minorHAnsi" w:cstheme="minorHAnsi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producción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composición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 la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leche,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conformación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corporal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viabilidad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en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cabras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raza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Murciano</w:t>
            </w:r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-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Granadina</w:t>
            </w:r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Ministerio</w:t>
            </w:r>
            <w:r w:rsidRPr="001B41E8">
              <w:rPr>
                <w:rFonts w:asciiTheme="minorHAnsi" w:hAnsiTheme="minorHAnsi"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14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Industria,</w:t>
            </w:r>
            <w:r w:rsidRPr="001B41E8">
              <w:rPr>
                <w:rFonts w:asciiTheme="minorHAnsi" w:hAnsiTheme="minorHAnsi" w:cstheme="minorHAnsi"/>
                <w:bCs/>
                <w:spacing w:val="19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Economía</w:t>
            </w:r>
            <w:r w:rsidRPr="001B41E8">
              <w:rPr>
                <w:rFonts w:asciiTheme="minorHAnsi" w:hAnsiTheme="minorHAnsi"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18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Competitividad</w:t>
            </w:r>
            <w:r w:rsidRPr="001B41E8">
              <w:rPr>
                <w:rFonts w:asciiTheme="minorHAnsi" w:hAnsiTheme="minorHAnsi" w:cstheme="minorHAnsi"/>
                <w:bCs/>
                <w:spacing w:val="19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(MINECO).</w:t>
            </w:r>
            <w:r w:rsidRPr="001B41E8">
              <w:rPr>
                <w:rFonts w:asciiTheme="minorHAnsi" w:hAnsiTheme="minorHAnsi" w:cstheme="minorHAnsi"/>
                <w:bCs/>
                <w:spacing w:val="22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Referencia:</w:t>
            </w:r>
            <w:r w:rsidRPr="001B41E8">
              <w:rPr>
                <w:rFonts w:asciiTheme="minorHAnsi" w:hAnsiTheme="minorHAnsi" w:cstheme="minorHAnsi"/>
                <w:bCs/>
                <w:spacing w:val="19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AGL2016-</w:t>
            </w:r>
            <w:r w:rsidRPr="001B41E8">
              <w:rPr>
                <w:rFonts w:asciiTheme="minorHAnsi" w:hAnsiTheme="minorHAnsi"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76108-</w:t>
            </w:r>
          </w:p>
          <w:p w14:paraId="3B202DF9" w14:textId="77777777" w:rsidR="00A80772" w:rsidRPr="001B41E8" w:rsidRDefault="00A80772" w:rsidP="00A80772">
            <w:pPr>
              <w:pStyle w:val="Textoindependiente"/>
              <w:spacing w:before="4"/>
              <w:rPr>
                <w:rFonts w:asciiTheme="minorHAnsi" w:hAnsiTheme="minorHAnsi" w:cstheme="minorHAnsi"/>
                <w:bCs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</w:rPr>
              <w:t>R.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IP: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Marcel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Eras.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30-12-2016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a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29-12-2019.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211.750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€.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</w:rPr>
              <w:t>: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</w:rPr>
              <w:t>Nacional.</w:t>
            </w:r>
          </w:p>
          <w:p w14:paraId="2E9111B7" w14:textId="0E6C59D3" w:rsidR="00A80772" w:rsidRPr="001B41E8" w:rsidRDefault="00A80772" w:rsidP="003B7AA8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59"/>
              </w:tabs>
              <w:autoSpaceDE w:val="0"/>
              <w:autoSpaceDN w:val="0"/>
              <w:spacing w:before="46" w:after="0" w:line="227" w:lineRule="exact"/>
              <w:ind w:right="762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Valorización de los quesos de cabra tradicionales ligados a una raza autóctona. Trazabilidad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del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origen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leche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partir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marcadores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moleculares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definición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 nuevos parámetros objetivos de calidad sensorial que sean identificables por los consumidores.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Instituto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Nacional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Investigación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Tecnología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Agraria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Alimentaria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(INIA) Ref.: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RTA2014-00047-00-00.</w:t>
            </w:r>
            <w:r w:rsidRPr="001B41E8">
              <w:rPr>
                <w:rFonts w:asciiTheme="minorHAnsi" w:hAnsiTheme="minorHAnsi" w:cstheme="minorHAnsi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IP: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Mª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Rosario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Fresno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Baquero.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01-07-2015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31-12-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>2018.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75.000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€.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: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>Nacional.</w:t>
            </w:r>
          </w:p>
          <w:p w14:paraId="0E616024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30"/>
              </w:tabs>
              <w:autoSpaceDE w:val="0"/>
              <w:autoSpaceDN w:val="0"/>
              <w:spacing w:before="44" w:after="0" w:line="285" w:lineRule="auto"/>
              <w:ind w:right="759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Inmunogenómica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para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el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análisis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molecular</w:t>
            </w:r>
            <w:r w:rsidRPr="001B41E8">
              <w:rPr>
                <w:rFonts w:asciiTheme="minorHAnsi" w:hAnsiTheme="minorHAnsi" w:cstheme="minorHAnsi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respuesta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intestinal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infección en porcino. Identificación de genes de resistencia a la Salmonelosis.</w:t>
            </w:r>
            <w:r w:rsidRPr="001B41E8">
              <w:rPr>
                <w:rFonts w:asciiTheme="minorHAnsi" w:hAnsiTheme="minorHAnsi" w:cs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Ministerio de Educación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Ciencia.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Referencia: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AGL2011-28904.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IP: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Juan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José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Garrido</w:t>
            </w:r>
            <w:r w:rsidRPr="001B41E8">
              <w:rPr>
                <w:rFonts w:asciiTheme="minorHAnsi" w:hAnsiTheme="minorHAnsi" w:cstheme="minorHAnsi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Pavón.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01-01- 2012 a 31-12-2014.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: Nacional.</w:t>
            </w:r>
          </w:p>
          <w:p w14:paraId="48B20391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16"/>
              </w:tabs>
              <w:autoSpaceDE w:val="0"/>
              <w:autoSpaceDN w:val="0"/>
              <w:spacing w:after="0" w:line="285" w:lineRule="auto"/>
              <w:ind w:right="763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Selección asistida por valores genómicos en la raza caprina </w:t>
            </w:r>
            <w:proofErr w:type="gram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Murciano</w:t>
            </w:r>
            <w:proofErr w:type="gram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proofErr w:type="gram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Granadina</w:t>
            </w:r>
            <w:proofErr w:type="gram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</w:t>
            </w:r>
            <w:r w:rsidRPr="001B41E8">
              <w:rPr>
                <w:rFonts w:asciiTheme="minorHAnsi" w:hAnsiTheme="minorHAnsi" w:cs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componente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proteica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leche.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Dirección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General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Investigación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y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Gestion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del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Plan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Nacional de I+D+i. Ministerio de Ciencia e Innovación. Programa Torres-Quevedo. Ref.: PTQ-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10-04002. IP: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lastRenderedPageBreak/>
              <w:t xml:space="preserve">Amparo Martínez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Martínez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De 01-01-2011 a 31-12-2013. 63.882 €.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Ambito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: 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>Nacional</w:t>
            </w:r>
          </w:p>
          <w:p w14:paraId="5A1C724F" w14:textId="77777777" w:rsidR="00A80772" w:rsidRPr="001B41E8" w:rsidRDefault="00A80772" w:rsidP="00A80772">
            <w:pPr>
              <w:pStyle w:val="Textoindependiente"/>
              <w:spacing w:line="230" w:lineRule="exact"/>
              <w:rPr>
                <w:rFonts w:asciiTheme="minorHAnsi" w:hAnsiTheme="minorHAnsi" w:cstheme="minorHAnsi"/>
                <w:bCs/>
              </w:rPr>
            </w:pPr>
          </w:p>
          <w:p w14:paraId="6234AB2A" w14:textId="77777777" w:rsidR="00CA4995" w:rsidRPr="001B41E8" w:rsidRDefault="00CA4995" w:rsidP="00CA4995">
            <w:pPr>
              <w:spacing w:after="0" w:line="240" w:lineRule="auto"/>
              <w:ind w:left="720"/>
              <w:rPr>
                <w:rFonts w:asciiTheme="minorHAnsi" w:hAnsiTheme="minorHAnsi" w:cstheme="minorHAnsi"/>
                <w:bCs/>
                <w:color w:val="7F7F7F"/>
                <w:sz w:val="20"/>
                <w:szCs w:val="20"/>
                <w:lang w:eastAsia="ja-JP"/>
              </w:rPr>
            </w:pPr>
          </w:p>
        </w:tc>
      </w:tr>
      <w:tr w:rsidR="00CA4995" w:rsidRPr="001B41E8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1B41E8" w:rsidRDefault="00CA4995" w:rsidP="006C67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noProof/>
                <w:sz w:val="20"/>
                <w:szCs w:val="20"/>
                <w:lang w:eastAsia="es-ES"/>
              </w:rPr>
            </w:pPr>
            <w:r w:rsidRPr="001B41E8">
              <w:rPr>
                <w:rFonts w:asciiTheme="minorHAnsi" w:hAnsiTheme="minorHAnsi" w:cstheme="minorHAnsi"/>
                <w:bCs/>
                <w:smallCaps/>
                <w:noProof/>
                <w:sz w:val="20"/>
                <w:szCs w:val="20"/>
                <w:lang w:eastAsia="es-ES"/>
              </w:rPr>
              <w:lastRenderedPageBreak/>
              <w:t>Publicaciones</w:t>
            </w:r>
          </w:p>
        </w:tc>
      </w:tr>
      <w:tr w:rsidR="00CA4995" w:rsidRPr="001B41E8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7777777" w:rsidR="00CA4995" w:rsidRPr="001B41E8" w:rsidRDefault="00CA4995" w:rsidP="006C67C8">
            <w:pPr>
              <w:spacing w:after="0" w:line="240" w:lineRule="auto"/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811F8E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69"/>
              </w:tabs>
              <w:autoSpaceDE w:val="0"/>
              <w:autoSpaceDN w:val="0"/>
              <w:spacing w:before="2" w:after="0" w:line="285" w:lineRule="auto"/>
              <w:ind w:right="755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Gabriele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Genczuk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Martina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Macrì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Marika Di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Civita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Salvatore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Mastrangelo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Maria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del Rosario Fresno, Juan Capote, Fabio Pilla, Juan Vicente Delgado, Marcel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Amparo Martínez.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2024. The demographic history and adaptation of Canarian goat breeds to environmental conditions 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through the use of</w:t>
            </w:r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genome-wide SNPs data. Genetics Selection Evolution,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56:2.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ISSN: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0999-193X.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Doi: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https://doi.org/10.1186/s12711-023-00869-0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.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IF: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4.1. Primer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decil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(JCR).</w:t>
            </w:r>
          </w:p>
          <w:p w14:paraId="27A47297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34"/>
              </w:tabs>
              <w:autoSpaceDE w:val="0"/>
              <w:autoSpaceDN w:val="0"/>
              <w:spacing w:after="0" w:line="249" w:lineRule="auto"/>
              <w:ind w:right="758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María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Gracia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Luigi-Serra,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Amparo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Martínez,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Martina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Macri,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Juan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Vicente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Delgado,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Anna Castelló,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Javier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Fernández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Álvarez,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Xavier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Such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Jordi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Jordana,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Marcel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2023.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Single and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longitudinal</w:t>
            </w:r>
            <w:r w:rsidRPr="001B41E8">
              <w:rPr>
                <w:rFonts w:asciiTheme="minorHAnsi" w:hAnsiTheme="minorHAnsi" w:cstheme="minorHAnsi"/>
                <w:bCs/>
                <w:spacing w:val="-8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genoma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-wide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association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studies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for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dairy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traits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available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in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goats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with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three recorded lactations. Animal Genetics. ISSN: 0268-9146.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https://doi.org/10.1111/age.13391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. IF: 2.4. Primer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tercil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(JCR).</w:t>
            </w:r>
          </w:p>
          <w:p w14:paraId="453A8BFA" w14:textId="77777777" w:rsidR="00A80772" w:rsidRPr="001B41E8" w:rsidRDefault="00A80772" w:rsidP="00A80772">
            <w:pPr>
              <w:pStyle w:val="Textoindependiente"/>
              <w:spacing w:line="247" w:lineRule="auto"/>
              <w:ind w:right="763"/>
              <w:rPr>
                <w:rFonts w:asciiTheme="minorHAnsi" w:hAnsiTheme="minorHAnsi" w:cstheme="minorHAnsi"/>
                <w:bCs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</w:rPr>
              <w:t xml:space="preserve">Javier Fernández Álvarez, Francisco J. Navas González, José M. León Jurado, Antonio González Ariza, María A. Martínez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</w:rPr>
              <w:t>Martínez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</w:rPr>
              <w:t>, Carlos Iglesias Pastrana, María G. Pizarro Inostroza</w:t>
            </w:r>
            <w:r w:rsidRPr="001B41E8">
              <w:rPr>
                <w:rFonts w:asciiTheme="minorHAnsi" w:hAnsiTheme="minorHAnsi" w:cstheme="minorHAnsi"/>
                <w:bCs/>
                <w:spacing w:val="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and</w:t>
            </w:r>
            <w:r w:rsidRPr="001B41E8">
              <w:rPr>
                <w:rFonts w:asciiTheme="minorHAnsi" w:hAnsiTheme="minorHAnsi" w:cstheme="minorHAnsi"/>
                <w:bCs/>
                <w:spacing w:val="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Juan</w:t>
            </w:r>
            <w:r w:rsidRPr="001B41E8">
              <w:rPr>
                <w:rFonts w:asciiTheme="minorHAnsi" w:hAnsiTheme="minorHAnsi" w:cstheme="minorHAnsi"/>
                <w:bCs/>
                <w:spacing w:val="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V.</w:t>
            </w:r>
            <w:r w:rsidRPr="001B41E8">
              <w:rPr>
                <w:rFonts w:asciiTheme="minorHAnsi" w:hAnsiTheme="minorHAnsi" w:cstheme="minorHAnsi"/>
                <w:bCs/>
                <w:spacing w:val="6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Delgado</w:t>
            </w:r>
            <w:r w:rsidRPr="001B41E8">
              <w:rPr>
                <w:rFonts w:asciiTheme="minorHAnsi" w:hAnsiTheme="minorHAnsi" w:cstheme="minorHAnsi"/>
                <w:bCs/>
                <w:spacing w:val="7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Bermejo.</w:t>
            </w:r>
            <w:r w:rsidRPr="001B41E8">
              <w:rPr>
                <w:rFonts w:asciiTheme="minorHAnsi" w:hAnsiTheme="minorHAnsi" w:cstheme="minorHAnsi"/>
                <w:bCs/>
                <w:spacing w:val="7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2023.</w:t>
            </w:r>
            <w:r w:rsidRPr="001B41E8">
              <w:rPr>
                <w:rFonts w:asciiTheme="minorHAnsi" w:hAnsiTheme="minorHAnsi" w:cstheme="minorHAnsi"/>
                <w:bCs/>
                <w:spacing w:val="3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Discriminant</w:t>
            </w:r>
            <w:r w:rsidRPr="001B41E8">
              <w:rPr>
                <w:rFonts w:asciiTheme="minorHAnsi" w:hAnsiTheme="minorHAnsi" w:cstheme="minorHAnsi"/>
                <w:bCs/>
                <w:spacing w:val="7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canonical</w:t>
            </w:r>
            <w:r w:rsidRPr="001B41E8">
              <w:rPr>
                <w:rFonts w:asciiTheme="minorHAnsi" w:hAnsiTheme="minorHAnsi" w:cstheme="minorHAnsi"/>
                <w:bCs/>
                <w:spacing w:val="3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tool</w:t>
            </w:r>
            <w:r w:rsidRPr="001B41E8">
              <w:rPr>
                <w:rFonts w:asciiTheme="minorHAnsi" w:hAnsiTheme="minorHAnsi" w:cstheme="minorHAnsi"/>
                <w:bCs/>
                <w:spacing w:val="6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for</w:t>
            </w:r>
            <w:r w:rsidRPr="001B41E8">
              <w:rPr>
                <w:rFonts w:asciiTheme="minorHAnsi" w:hAnsiTheme="minorHAnsi" w:cstheme="minorHAnsi"/>
                <w:bCs/>
                <w:spacing w:val="7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inferring</w:t>
            </w:r>
            <w:r w:rsidRPr="001B41E8">
              <w:rPr>
                <w:rFonts w:asciiTheme="minorHAnsi" w:hAnsiTheme="minorHAnsi" w:cstheme="minorHAnsi"/>
                <w:bCs/>
                <w:spacing w:val="5"/>
                <w:w w:val="105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lang w:val="en-US"/>
              </w:rPr>
              <w:t>the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effect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of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α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S1,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α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S2,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β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and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κ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casein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haplotypes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and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haplogroups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on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zoometric/linear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appraisal breeding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values in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Murciano-Granadina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goats.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Frontiers in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Veterinary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Science.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>ISSN: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 xml:space="preserve">2297- 1769.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u w:val="single" w:color="0000FF"/>
                <w:lang w:val="en-US"/>
              </w:rPr>
              <w:t>https://doi.org/10.3389/fvets.2023.1138528</w:t>
            </w:r>
            <w:r w:rsidRPr="001B41E8">
              <w:rPr>
                <w:rFonts w:asciiTheme="minorHAnsi" w:hAnsiTheme="minorHAnsi" w:cstheme="minorHAnsi"/>
                <w:bCs/>
                <w:w w:val="105"/>
                <w:lang w:val="en-US"/>
              </w:rPr>
              <w:t xml:space="preserve">. IF: 3.2.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Primer decil (JCR).</w:t>
            </w:r>
          </w:p>
          <w:p w14:paraId="7218CCA6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16"/>
              </w:tabs>
              <w:autoSpaceDE w:val="0"/>
              <w:autoSpaceDN w:val="0"/>
              <w:spacing w:before="2" w:after="0" w:line="247" w:lineRule="auto"/>
              <w:ind w:right="759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Francesco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Perini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Irene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Cardinali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Simone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Ceccobelli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Anthony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Gruppetta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Carlos San José, Mario Cosenza,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Nicolo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Musso, Amparo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Martìnez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Asmaa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Abushady</w:t>
            </w:r>
            <w:r w:rsidRPr="001B41E8">
              <w:rPr>
                <w:rFonts w:asciiTheme="minorHAnsi" w:hAnsiTheme="minorHAnsi" w:cstheme="minorHAnsi"/>
                <w:bCs/>
                <w:color w:val="2195D1"/>
                <w:sz w:val="20"/>
                <w:szCs w:val="20"/>
              </w:rPr>
              <w:t>j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Luis V. Monteagudo,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Luigi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Liotta,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Hovirag</w:t>
            </w:r>
            <w:proofErr w:type="spellEnd"/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Lancioni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George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Attard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Emiliano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Lasagna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2023.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Phylogeographic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and population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genetic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structure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of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hound-like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native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dogs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of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the</w:t>
            </w:r>
            <w:r w:rsidRPr="001B41E8">
              <w:rPr>
                <w:rFonts w:asciiTheme="minorHAnsi" w:hAnsiTheme="minorHAnsi" w:cstheme="minorHAnsi"/>
                <w:bCs/>
                <w:spacing w:val="-1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Mediterranean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Basin.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Research in Veterinary Science, 155: 103-114. ISSN: 0034-5288. Doi: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https://doi.org/10.1016/j.rvsc.2023.01.010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IF: 2.4. Primer cuartil (JCR).</w:t>
            </w:r>
          </w:p>
          <w:p w14:paraId="3C70013A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84"/>
              </w:tabs>
              <w:autoSpaceDE w:val="0"/>
              <w:autoSpaceDN w:val="0"/>
              <w:spacing w:before="7" w:after="0" w:line="285" w:lineRule="auto"/>
              <w:ind w:right="756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Martina Macri,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Maria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Gracia Luigi-Sierra,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Dailu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Guan, Juan Vicente Delgado, Javier Fernández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Alvarez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Marcel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, Amparo Martínez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Martínez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2023. Univariate and multivariate</w:t>
            </w:r>
            <w:r w:rsidRPr="001B41E8">
              <w:rPr>
                <w:rFonts w:asciiTheme="minorHAnsi" w:hAnsiTheme="minorHAnsi" w:cstheme="minorHAnsi"/>
                <w:bCs/>
                <w:spacing w:val="-13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genome-wide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association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studies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for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hematological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traits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in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Murciano-Granadina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goats. Animal Genetics, 102.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Páginas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: ISSN: 0268-9146. Doi: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10.1111/age.13328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. IF: 2.4. Primer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tercil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(JCR).</w:t>
            </w:r>
          </w:p>
          <w:p w14:paraId="2FEBF0E7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45"/>
              </w:tabs>
              <w:autoSpaceDE w:val="0"/>
              <w:autoSpaceDN w:val="0"/>
              <w:spacing w:after="0" w:line="285" w:lineRule="auto"/>
              <w:ind w:right="761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Amado M. Canales, María E. Camacho, Antonio H. Beltrán, Juan V. Delgado,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Vincenzo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Landi and Amparo M. Martínez.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2023. Genetic diversity in 10 populations of domestic Turkeys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by using microsatellites markers. Poultry Science, 102: 4364-4380. ISSN: 0032-5791. Doi: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https://doi.org/10.1016/j.psj.2022.102311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. IF: 4.4.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Primer decil (JCR).</w:t>
            </w:r>
          </w:p>
          <w:p w14:paraId="098597CD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26"/>
              </w:tabs>
              <w:autoSpaceDE w:val="0"/>
              <w:autoSpaceDN w:val="0"/>
              <w:spacing w:after="0" w:line="285" w:lineRule="auto"/>
              <w:ind w:right="757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Freitas,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T;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Moraes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J;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Ferreira,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a;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Rodrigues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j;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lage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G;</w:t>
            </w:r>
            <w:r w:rsidRPr="001B41E8">
              <w:rPr>
                <w:rFonts w:asciiTheme="minorHAnsi" w:hAnsiTheme="minorHAnsi" w:cs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Moura,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M;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Landi,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V;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Martínez,</w:t>
            </w:r>
            <w:r w:rsidRPr="001B41E8">
              <w:rPr>
                <w:rFonts w:asciiTheme="minorHAnsi" w:hAnsiTheme="minorHAnsi" w:cs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AM; Santana, A; Soares, MC. 2022.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Population Structure of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Curraleiro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Pé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-Duro Cattle and its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Relationship with the Serological Profile Against Pathogens of Economic and Zoonotic Interest.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Frontiers in Genetics, 13. ISSN: 1664-8021. Doi: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10.3389/fgene.2022.872660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. IF: 4.772. Primer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cuartil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(JCR).</w:t>
            </w:r>
          </w:p>
          <w:p w14:paraId="651D4AB1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24"/>
              </w:tabs>
              <w:autoSpaceDE w:val="0"/>
              <w:autoSpaceDN w:val="0"/>
              <w:spacing w:after="0" w:line="285" w:lineRule="auto"/>
              <w:ind w:right="758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Co-autores</w:t>
            </w:r>
            <w:proofErr w:type="spellEnd"/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: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Lourdes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Sofía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Aguilera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García;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Amado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Manuel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Canales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Vergara;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Pedro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Zurita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Herrera; José Manuel Alanzor Puente; Águeda Laura Pons Barro; Susana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Dunner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; Carlos San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José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Marques;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Juan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Vicente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Delgado Bermejo; Amparo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Martínez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Martínez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2022.</w:t>
            </w:r>
            <w:r w:rsidRPr="001B41E8">
              <w:rPr>
                <w:rFonts w:asciiTheme="minorHAnsi" w:hAnsiTheme="minorHAnsi" w:cstheme="minorHAnsi"/>
                <w:bCs/>
                <w:spacing w:val="-3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Genetic </w:t>
            </w:r>
            <w:r w:rsidRPr="001B41E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Structure of the Ca Rater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Mallorquí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Dog Breed Inferred by Microsatellite Markers.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>Animals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12.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ISSN: 2076-2615.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Doi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 xml:space="preserve">: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</w:rPr>
              <w:t>10.3390/ani12202733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. IF: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3.231. Primer cuartil</w:t>
            </w:r>
            <w:r w:rsidRPr="001B41E8">
              <w:rPr>
                <w:rFonts w:asciiTheme="minorHAnsi" w:hAnsiTheme="minorHAnsi" w:cs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(JCR).</w:t>
            </w:r>
          </w:p>
          <w:p w14:paraId="0F405734" w14:textId="4DF16C85" w:rsidR="00A80772" w:rsidRPr="001B41E8" w:rsidRDefault="00A80772" w:rsidP="00891BD8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88"/>
              </w:tabs>
              <w:autoSpaceDE w:val="0"/>
              <w:autoSpaceDN w:val="0"/>
              <w:spacing w:after="0" w:line="227" w:lineRule="exact"/>
              <w:ind w:right="759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Co-autores</w:t>
            </w:r>
            <w:proofErr w:type="spellEnd"/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: Luigi-Sierra, MG; Fernández, A; Martínez, AM; Guan, D; Delgado, JV; Fernández,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J;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Landi,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V;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Such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F;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Jordana</w:t>
            </w:r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J;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Saura,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M;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M.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2022.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Genomic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patterns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of homozygosity and inbreeding depression in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Murciano-Granadina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goats. Journal of Animal Science</w:t>
            </w:r>
            <w:r w:rsidRPr="001B41E8">
              <w:rPr>
                <w:rFonts w:asciiTheme="minorHAnsi" w:hAnsiTheme="minorHAnsi" w:cstheme="minorHAnsi"/>
                <w:bCs/>
                <w:spacing w:val="2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and</w:t>
            </w:r>
            <w:r w:rsidRPr="001B41E8">
              <w:rPr>
                <w:rFonts w:asciiTheme="minorHAnsi" w:hAnsiTheme="minorHAnsi" w:cstheme="minorHAnsi"/>
                <w:bCs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Biotechnology,</w:t>
            </w:r>
            <w:r w:rsidRPr="001B41E8">
              <w:rPr>
                <w:rFonts w:asciiTheme="minorHAnsi" w:hAnsiTheme="minorHAnsi" w:cstheme="minorHAnsi"/>
                <w:bCs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13.</w:t>
            </w:r>
            <w:r w:rsidRPr="001B41E8">
              <w:rPr>
                <w:rFonts w:asciiTheme="minorHAnsi" w:hAnsiTheme="minorHAnsi" w:cstheme="minorHAnsi"/>
                <w:bCs/>
                <w:spacing w:val="2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ISSN:</w:t>
            </w:r>
            <w:r w:rsidRPr="001B41E8">
              <w:rPr>
                <w:rFonts w:asciiTheme="minorHAnsi" w:hAnsiTheme="minorHAnsi" w:cstheme="minorHAnsi"/>
                <w:bCs/>
                <w:spacing w:val="2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1674-9782.</w:t>
            </w:r>
            <w:r w:rsidRPr="001B41E8">
              <w:rPr>
                <w:rFonts w:asciiTheme="minorHAnsi" w:hAnsiTheme="minorHAnsi" w:cstheme="minorHAnsi"/>
                <w:bCs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Doi:</w:t>
            </w:r>
            <w:r w:rsidRPr="001B41E8">
              <w:rPr>
                <w:rFonts w:asciiTheme="minorHAnsi" w:hAnsiTheme="minorHAnsi" w:cstheme="minorHAnsi"/>
                <w:bCs/>
                <w:spacing w:val="2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10.1186/s40104-022-00684-5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.</w:t>
            </w:r>
            <w:r w:rsidRPr="001B41E8">
              <w:rPr>
                <w:rFonts w:asciiTheme="minorHAnsi" w:hAnsiTheme="minorHAnsi" w:cstheme="minorHAnsi"/>
                <w:bCs/>
                <w:spacing w:val="2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  <w:lang w:val="en-US"/>
              </w:rPr>
              <w:t>IF: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6.175.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Primer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decil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szCs w:val="20"/>
              </w:rPr>
              <w:t>(JCR).</w:t>
            </w:r>
          </w:p>
          <w:p w14:paraId="38C30337" w14:textId="77777777" w:rsidR="00A80772" w:rsidRPr="001B41E8" w:rsidRDefault="00A80772" w:rsidP="00A80772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588"/>
              </w:tabs>
              <w:autoSpaceDE w:val="0"/>
              <w:autoSpaceDN w:val="0"/>
              <w:spacing w:after="0" w:line="285" w:lineRule="auto"/>
              <w:ind w:right="759" w:firstLine="0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Co-autores</w:t>
            </w:r>
            <w:proofErr w:type="spellEnd"/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: Luigi-Sierra, MG; Fernández, A; Martínez, AM; Guan, D; Delgado, JV; Fernández,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lastRenderedPageBreak/>
              <w:t>J;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Landi,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V;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Such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F;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Jordana</w:t>
            </w:r>
            <w:proofErr w:type="gram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J;</w:t>
            </w:r>
            <w:r w:rsidRPr="001B41E8">
              <w:rPr>
                <w:rFonts w:asciiTheme="minorHAnsi" w:hAnsiTheme="minorHAnsi" w:cs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Saura,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M;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Amills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,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M.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2022.</w:t>
            </w:r>
            <w:r w:rsidRPr="001B41E8">
              <w:rPr>
                <w:rFonts w:asciiTheme="minorHAnsi" w:hAnsiTheme="minorHAnsi" w:cstheme="minorHAnsi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Genomic</w:t>
            </w:r>
            <w:r w:rsidRPr="001B41E8">
              <w:rPr>
                <w:rFonts w:asciiTheme="minorHAnsi" w:hAnsiTheme="minorHAnsi" w:cstheme="minorHAnsi"/>
                <w:bCs/>
                <w:spacing w:val="-9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patterns</w:t>
            </w:r>
            <w:r w:rsidRPr="001B41E8">
              <w:rPr>
                <w:rFonts w:asciiTheme="minorHAnsi" w:hAnsiTheme="minorHAnsi" w:cstheme="minorHAnsi"/>
                <w:bCs/>
                <w:spacing w:val="-7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of homozygosity and inbreeding depression in </w:t>
            </w:r>
            <w:proofErr w:type="spellStart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Murciano-Granadina</w:t>
            </w:r>
            <w:proofErr w:type="spellEnd"/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 xml:space="preserve"> goats. Journal of Animal Science</w:t>
            </w:r>
            <w:r w:rsidRPr="001B41E8">
              <w:rPr>
                <w:rFonts w:asciiTheme="minorHAnsi" w:hAnsiTheme="minorHAnsi" w:cstheme="minorHAnsi"/>
                <w:bCs/>
                <w:spacing w:val="2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and</w:t>
            </w:r>
            <w:r w:rsidRPr="001B41E8">
              <w:rPr>
                <w:rFonts w:asciiTheme="minorHAnsi" w:hAnsiTheme="minorHAnsi" w:cstheme="minorHAnsi"/>
                <w:bCs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Biotechnology,</w:t>
            </w:r>
            <w:r w:rsidRPr="001B41E8">
              <w:rPr>
                <w:rFonts w:asciiTheme="minorHAnsi" w:hAnsiTheme="minorHAnsi" w:cstheme="minorHAnsi"/>
                <w:bCs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13.</w:t>
            </w:r>
            <w:r w:rsidRPr="001B41E8">
              <w:rPr>
                <w:rFonts w:asciiTheme="minorHAnsi" w:hAnsiTheme="minorHAnsi" w:cstheme="minorHAnsi"/>
                <w:bCs/>
                <w:spacing w:val="20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ISSN:</w:t>
            </w:r>
            <w:r w:rsidRPr="001B41E8">
              <w:rPr>
                <w:rFonts w:asciiTheme="minorHAnsi" w:hAnsiTheme="minorHAnsi" w:cstheme="minorHAnsi"/>
                <w:bCs/>
                <w:spacing w:val="2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1674-9782.</w:t>
            </w:r>
            <w:r w:rsidRPr="001B41E8">
              <w:rPr>
                <w:rFonts w:asciiTheme="minorHAnsi" w:hAnsiTheme="minorHAnsi" w:cstheme="minorHAnsi"/>
                <w:bCs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Doi:</w:t>
            </w:r>
            <w:r w:rsidRPr="001B41E8">
              <w:rPr>
                <w:rFonts w:asciiTheme="minorHAnsi" w:hAnsiTheme="minorHAnsi" w:cstheme="minorHAnsi"/>
                <w:bCs/>
                <w:spacing w:val="24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color w:val="0000FF"/>
                <w:w w:val="105"/>
                <w:sz w:val="20"/>
                <w:szCs w:val="20"/>
                <w:u w:val="single" w:color="0000FF"/>
                <w:lang w:val="en-US"/>
              </w:rPr>
              <w:t>10.1186/s40104-022-00684-5</w:t>
            </w:r>
            <w:r w:rsidRPr="001B41E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  <w:t>.</w:t>
            </w:r>
            <w:r w:rsidRPr="001B41E8">
              <w:rPr>
                <w:rFonts w:asciiTheme="minorHAnsi" w:hAnsiTheme="minorHAnsi" w:cstheme="minorHAnsi"/>
                <w:bCs/>
                <w:spacing w:val="21"/>
                <w:w w:val="105"/>
                <w:sz w:val="20"/>
                <w:szCs w:val="20"/>
                <w:lang w:val="en-US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  <w:lang w:val="en-US"/>
              </w:rPr>
              <w:t>IF:</w:t>
            </w:r>
          </w:p>
          <w:p w14:paraId="66EF69AD" w14:textId="5DA49B56" w:rsidR="00CA4995" w:rsidRPr="001B41E8" w:rsidRDefault="00A80772" w:rsidP="00A80772">
            <w:pPr>
              <w:pStyle w:val="Textoindependiente"/>
              <w:spacing w:line="227" w:lineRule="exact"/>
              <w:rPr>
                <w:rFonts w:asciiTheme="minorHAnsi" w:hAnsiTheme="minorHAnsi" w:cstheme="minorHAnsi"/>
                <w:bCs/>
              </w:rPr>
            </w:pPr>
            <w:r w:rsidRPr="001B41E8">
              <w:rPr>
                <w:rFonts w:asciiTheme="minorHAnsi" w:hAnsiTheme="minorHAnsi" w:cstheme="minorHAnsi"/>
                <w:bCs/>
                <w:w w:val="105"/>
              </w:rPr>
              <w:t>6.175.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Primer</w:t>
            </w:r>
            <w:r w:rsidRPr="001B41E8">
              <w:rPr>
                <w:rFonts w:asciiTheme="minorHAnsi" w:hAnsiTheme="minorHAnsi" w:cstheme="minorHAnsi"/>
                <w:bCs/>
                <w:spacing w:val="-14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w w:val="105"/>
              </w:rPr>
              <w:t>decil</w:t>
            </w:r>
            <w:r w:rsidRPr="001B41E8">
              <w:rPr>
                <w:rFonts w:asciiTheme="minorHAnsi" w:hAnsiTheme="minorHAnsi" w:cstheme="minorHAnsi"/>
                <w:bCs/>
                <w:spacing w:val="-15"/>
                <w:w w:val="105"/>
              </w:rPr>
              <w:t xml:space="preserve"> </w:t>
            </w:r>
            <w:r w:rsidRPr="001B41E8">
              <w:rPr>
                <w:rFonts w:asciiTheme="minorHAnsi" w:hAnsiTheme="minorHAnsi" w:cstheme="minorHAnsi"/>
                <w:bCs/>
                <w:spacing w:val="-2"/>
                <w:w w:val="105"/>
              </w:rPr>
              <w:t>(JCR).</w:t>
            </w:r>
          </w:p>
        </w:tc>
      </w:tr>
      <w:tr w:rsidR="00CA4995" w:rsidRPr="001B41E8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1B41E8" w:rsidRDefault="00CA4995" w:rsidP="00CA4995">
            <w:pPr>
              <w:spacing w:after="0" w:line="240" w:lineRule="auto"/>
              <w:ind w:left="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41E8">
              <w:rPr>
                <w:rFonts w:asciiTheme="minorHAnsi" w:hAnsiTheme="minorHAnsi" w:cstheme="minorHAnsi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1B41E8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tbl>
            <w:tblPr>
              <w:tblStyle w:val="TableNormal"/>
              <w:tblW w:w="0" w:type="auto"/>
              <w:tblInd w:w="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5"/>
              <w:gridCol w:w="5995"/>
            </w:tblGrid>
            <w:tr w:rsidR="001B41E8" w14:paraId="3694275F" w14:textId="77777777" w:rsidTr="00CE0E8D">
              <w:trPr>
                <w:trHeight w:val="273"/>
              </w:trPr>
              <w:tc>
                <w:tcPr>
                  <w:tcW w:w="2665" w:type="dxa"/>
                  <w:vAlign w:val="center"/>
                </w:tcPr>
                <w:p w14:paraId="08AAB022" w14:textId="77777777" w:rsidR="001B41E8" w:rsidRDefault="001B41E8" w:rsidP="001B41E8">
                  <w:pPr>
                    <w:pStyle w:val="TableParagraph"/>
                    <w:spacing w:before="9"/>
                    <w:ind w:left="10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105"/>
                      <w:sz w:val="20"/>
                    </w:rPr>
                    <w:t>Periodo</w:t>
                  </w:r>
                </w:p>
              </w:tc>
              <w:tc>
                <w:tcPr>
                  <w:tcW w:w="5995" w:type="dxa"/>
                  <w:vAlign w:val="center"/>
                </w:tcPr>
                <w:p w14:paraId="1733BADB" w14:textId="77777777" w:rsidR="001B41E8" w:rsidRDefault="001B41E8" w:rsidP="001B41E8">
                  <w:pPr>
                    <w:pStyle w:val="TableParagraph"/>
                    <w:spacing w:before="9"/>
                    <w:ind w:left="99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Puesto</w:t>
                  </w:r>
                  <w:r>
                    <w:rPr>
                      <w:b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/</w:t>
                  </w:r>
                  <w:r>
                    <w:rPr>
                      <w:b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Institución</w:t>
                  </w:r>
                  <w:r>
                    <w:rPr>
                      <w:b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/</w:t>
                  </w:r>
                  <w:r>
                    <w:rPr>
                      <w:b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País</w:t>
                  </w:r>
                  <w:r>
                    <w:rPr>
                      <w:b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/</w:t>
                  </w:r>
                  <w:r>
                    <w:rPr>
                      <w:b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Motivo</w:t>
                  </w:r>
                  <w:r>
                    <w:rPr>
                      <w:b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w w:val="105"/>
                      <w:sz w:val="20"/>
                    </w:rPr>
                    <w:t>interrupción</w:t>
                  </w:r>
                </w:p>
              </w:tc>
            </w:tr>
            <w:tr w:rsidR="001B41E8" w:rsidRPr="005B24FD" w14:paraId="271A025C" w14:textId="77777777" w:rsidTr="00CE0E8D">
              <w:trPr>
                <w:trHeight w:val="365"/>
              </w:trPr>
              <w:tc>
                <w:tcPr>
                  <w:tcW w:w="2665" w:type="dxa"/>
                  <w:vAlign w:val="center"/>
                </w:tcPr>
                <w:p w14:paraId="6CB729BF" w14:textId="77777777" w:rsidR="001B41E8" w:rsidRDefault="001B41E8" w:rsidP="001B41E8">
                  <w:pPr>
                    <w:pStyle w:val="TableParagraph"/>
                    <w:spacing w:before="9"/>
                    <w:ind w:left="101"/>
                    <w:rPr>
                      <w:spacing w:val="-2"/>
                      <w:sz w:val="20"/>
                    </w:rPr>
                  </w:pPr>
                  <w:r>
                    <w:rPr>
                      <w:sz w:val="20"/>
                    </w:rPr>
                    <w:t>04/05/2010-</w:t>
                  </w:r>
                  <w:r>
                    <w:rPr>
                      <w:spacing w:val="-2"/>
                      <w:sz w:val="20"/>
                    </w:rPr>
                    <w:t>22/09/2019</w:t>
                  </w:r>
                </w:p>
                <w:p w14:paraId="49C9741B" w14:textId="6EF7CF06" w:rsidR="001B41E8" w:rsidRDefault="001B41E8" w:rsidP="001B41E8">
                  <w:pPr>
                    <w:pStyle w:val="TableParagraph"/>
                    <w:spacing w:before="9"/>
                    <w:ind w:left="101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  <w:r>
                    <w:rPr>
                      <w:sz w:val="20"/>
                    </w:rPr>
                    <w:t>/0</w:t>
                  </w:r>
                  <w:r>
                    <w:rPr>
                      <w:sz w:val="20"/>
                    </w:rPr>
                    <w:t>9/</w:t>
                  </w: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5"/>
                      <w:sz w:val="20"/>
                    </w:rPr>
                    <w:t>ahora</w:t>
                  </w:r>
                </w:p>
              </w:tc>
              <w:tc>
                <w:tcPr>
                  <w:tcW w:w="5995" w:type="dxa"/>
                  <w:vAlign w:val="center"/>
                </w:tcPr>
                <w:p w14:paraId="5078030E" w14:textId="34F4ADC5" w:rsidR="001B41E8" w:rsidRPr="005B24FD" w:rsidRDefault="001B41E8" w:rsidP="001B41E8">
                  <w:pPr>
                    <w:pStyle w:val="TableParagraph"/>
                    <w:spacing w:before="9"/>
                    <w:ind w:left="98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Gerente</w:t>
                  </w:r>
                  <w:proofErr w:type="spellEnd"/>
                  <w:r>
                    <w:rPr>
                      <w:sz w:val="20"/>
                      <w:lang w:val="en-US"/>
                    </w:rPr>
                    <w:t>/</w:t>
                  </w:r>
                  <w:proofErr w:type="spellStart"/>
                  <w:r>
                    <w:rPr>
                      <w:sz w:val="20"/>
                      <w:lang w:val="en-US"/>
                    </w:rPr>
                    <w:t>Investigadora</w:t>
                  </w:r>
                  <w:proofErr w:type="spellEnd"/>
                  <w:r w:rsidRPr="005B24FD">
                    <w:rPr>
                      <w:sz w:val="20"/>
                      <w:lang w:val="en-US"/>
                    </w:rPr>
                    <w:t>/Animal</w:t>
                  </w:r>
                  <w:r w:rsidRPr="005B24FD">
                    <w:rPr>
                      <w:spacing w:val="33"/>
                      <w:sz w:val="20"/>
                      <w:lang w:val="en-US"/>
                    </w:rPr>
                    <w:t xml:space="preserve"> </w:t>
                  </w:r>
                  <w:r w:rsidRPr="005B24FD">
                    <w:rPr>
                      <w:sz w:val="20"/>
                      <w:lang w:val="en-US"/>
                    </w:rPr>
                    <w:t>Breeding</w:t>
                  </w:r>
                  <w:r w:rsidRPr="005B24FD">
                    <w:rPr>
                      <w:spacing w:val="27"/>
                      <w:sz w:val="20"/>
                      <w:lang w:val="en-US"/>
                    </w:rPr>
                    <w:t xml:space="preserve"> </w:t>
                  </w:r>
                  <w:r w:rsidRPr="005B24FD">
                    <w:rPr>
                      <w:sz w:val="20"/>
                      <w:lang w:val="en-US"/>
                    </w:rPr>
                    <w:t>Consulting</w:t>
                  </w:r>
                  <w:r w:rsidRPr="005B24FD">
                    <w:rPr>
                      <w:spacing w:val="33"/>
                      <w:sz w:val="20"/>
                      <w:lang w:val="en-US"/>
                    </w:rPr>
                    <w:t xml:space="preserve"> </w:t>
                  </w:r>
                  <w:r w:rsidRPr="005B24FD">
                    <w:rPr>
                      <w:spacing w:val="-2"/>
                      <w:sz w:val="20"/>
                      <w:lang w:val="en-US"/>
                    </w:rPr>
                    <w:t>SL</w:t>
                  </w:r>
                </w:p>
              </w:tc>
            </w:tr>
            <w:tr w:rsidR="001B41E8" w:rsidRPr="00667CF1" w14:paraId="6EABF0BF" w14:textId="77777777" w:rsidTr="00CE0E8D">
              <w:trPr>
                <w:trHeight w:val="273"/>
              </w:trPr>
              <w:tc>
                <w:tcPr>
                  <w:tcW w:w="2665" w:type="dxa"/>
                  <w:vAlign w:val="center"/>
                </w:tcPr>
                <w:p w14:paraId="2BD947D5" w14:textId="77777777" w:rsidR="001B41E8" w:rsidRDefault="001B41E8" w:rsidP="001B41E8">
                  <w:pPr>
                    <w:pStyle w:val="TableParagraph"/>
                    <w:ind w:left="101"/>
                    <w:rPr>
                      <w:sz w:val="20"/>
                    </w:rPr>
                  </w:pPr>
                  <w:r>
                    <w:rPr>
                      <w:sz w:val="20"/>
                    </w:rPr>
                    <w:t>01/05/2001-</w:t>
                  </w:r>
                  <w:r>
                    <w:rPr>
                      <w:spacing w:val="-2"/>
                      <w:sz w:val="20"/>
                    </w:rPr>
                    <w:t>30/04/2010</w:t>
                  </w:r>
                </w:p>
              </w:tc>
              <w:tc>
                <w:tcPr>
                  <w:tcW w:w="5995" w:type="dxa"/>
                  <w:vAlign w:val="center"/>
                </w:tcPr>
                <w:p w14:paraId="49A58A00" w14:textId="77777777" w:rsidR="001B41E8" w:rsidRPr="00667CF1" w:rsidRDefault="001B41E8" w:rsidP="001B41E8">
                  <w:pPr>
                    <w:pStyle w:val="TableParagraph"/>
                    <w:ind w:left="97"/>
                    <w:rPr>
                      <w:sz w:val="20"/>
                    </w:rPr>
                  </w:pPr>
                  <w:r w:rsidRPr="00667CF1">
                    <w:rPr>
                      <w:sz w:val="20"/>
                    </w:rPr>
                    <w:t xml:space="preserve">Investigadora/Universidad de </w:t>
                  </w:r>
                  <w:r w:rsidRPr="00667CF1">
                    <w:rPr>
                      <w:spacing w:val="-2"/>
                      <w:sz w:val="20"/>
                    </w:rPr>
                    <w:t>Córdoba</w:t>
                  </w:r>
                </w:p>
              </w:tc>
            </w:tr>
            <w:tr w:rsidR="001B41E8" w:rsidRPr="00667CF1" w14:paraId="1A658089" w14:textId="77777777" w:rsidTr="00CE0E8D">
              <w:trPr>
                <w:trHeight w:val="277"/>
              </w:trPr>
              <w:tc>
                <w:tcPr>
                  <w:tcW w:w="2665" w:type="dxa"/>
                  <w:vAlign w:val="center"/>
                </w:tcPr>
                <w:p w14:paraId="553FCBEB" w14:textId="77777777" w:rsidR="001B41E8" w:rsidRDefault="001B41E8" w:rsidP="001B41E8">
                  <w:pPr>
                    <w:pStyle w:val="TableParagraph"/>
                    <w:spacing w:before="9"/>
                    <w:ind w:left="101"/>
                    <w:rPr>
                      <w:sz w:val="20"/>
                    </w:rPr>
                  </w:pPr>
                  <w:r>
                    <w:rPr>
                      <w:sz w:val="20"/>
                    </w:rPr>
                    <w:t>23/03/1992-</w:t>
                  </w:r>
                  <w:r>
                    <w:rPr>
                      <w:spacing w:val="-2"/>
                      <w:sz w:val="20"/>
                    </w:rPr>
                    <w:t>30/08/1997</w:t>
                  </w:r>
                </w:p>
              </w:tc>
              <w:tc>
                <w:tcPr>
                  <w:tcW w:w="5995" w:type="dxa"/>
                  <w:vAlign w:val="center"/>
                </w:tcPr>
                <w:p w14:paraId="0B7ECC05" w14:textId="77777777" w:rsidR="001B41E8" w:rsidRPr="00667CF1" w:rsidRDefault="001B41E8" w:rsidP="001B41E8">
                  <w:pPr>
                    <w:pStyle w:val="TableParagraph"/>
                    <w:spacing w:before="9"/>
                    <w:ind w:left="97"/>
                    <w:rPr>
                      <w:sz w:val="20"/>
                    </w:rPr>
                  </w:pPr>
                  <w:r w:rsidRPr="00667CF1">
                    <w:rPr>
                      <w:sz w:val="20"/>
                    </w:rPr>
                    <w:t xml:space="preserve">Analista, Gerente/Laboratorio de </w:t>
                  </w:r>
                  <w:r>
                    <w:rPr>
                      <w:sz w:val="20"/>
                    </w:rPr>
                    <w:t>a</w:t>
                  </w:r>
                  <w:r w:rsidRPr="00667CF1">
                    <w:rPr>
                      <w:sz w:val="20"/>
                    </w:rPr>
                    <w:t xml:space="preserve">nálisis </w:t>
                  </w:r>
                  <w:r>
                    <w:rPr>
                      <w:sz w:val="20"/>
                    </w:rPr>
                    <w:t>c</w:t>
                  </w:r>
                  <w:r w:rsidRPr="00667CF1">
                    <w:rPr>
                      <w:sz w:val="20"/>
                    </w:rPr>
                    <w:t>línicos privado</w:t>
                  </w:r>
                  <w:r w:rsidRPr="00667CF1">
                    <w:rPr>
                      <w:spacing w:val="-2"/>
                      <w:sz w:val="20"/>
                    </w:rPr>
                    <w:t>/León</w:t>
                  </w:r>
                </w:p>
              </w:tc>
            </w:tr>
            <w:tr w:rsidR="001B41E8" w:rsidRPr="005B24FD" w14:paraId="4732E81F" w14:textId="77777777" w:rsidTr="00CE0E8D">
              <w:trPr>
                <w:trHeight w:val="281"/>
              </w:trPr>
              <w:tc>
                <w:tcPr>
                  <w:tcW w:w="2665" w:type="dxa"/>
                  <w:vAlign w:val="center"/>
                </w:tcPr>
                <w:p w14:paraId="4300BB65" w14:textId="77777777" w:rsidR="001B41E8" w:rsidRDefault="001B41E8" w:rsidP="001B41E8">
                  <w:pPr>
                    <w:pStyle w:val="TableParagraph"/>
                    <w:ind w:left="101"/>
                    <w:rPr>
                      <w:sz w:val="20"/>
                    </w:rPr>
                  </w:pPr>
                  <w:r>
                    <w:rPr>
                      <w:sz w:val="20"/>
                    </w:rPr>
                    <w:t>30/04/1988-</w:t>
                  </w:r>
                  <w:r>
                    <w:rPr>
                      <w:spacing w:val="-2"/>
                      <w:sz w:val="20"/>
                    </w:rPr>
                    <w:t>31/12/1991</w:t>
                  </w:r>
                </w:p>
              </w:tc>
              <w:tc>
                <w:tcPr>
                  <w:tcW w:w="5995" w:type="dxa"/>
                  <w:vAlign w:val="center"/>
                </w:tcPr>
                <w:p w14:paraId="0E21F14E" w14:textId="34CAA14D" w:rsidR="001B41E8" w:rsidRPr="005B24FD" w:rsidRDefault="001B41E8" w:rsidP="001B41E8">
                  <w:pPr>
                    <w:pStyle w:val="TableParagraph"/>
                    <w:ind w:left="97"/>
                    <w:rPr>
                      <w:sz w:val="20"/>
                      <w:lang w:val="en-US"/>
                    </w:rPr>
                  </w:pPr>
                  <w:r w:rsidRPr="005B24FD">
                    <w:rPr>
                      <w:w w:val="105"/>
                      <w:sz w:val="20"/>
                      <w:lang w:val="en-US"/>
                    </w:rPr>
                    <w:t>FIR</w:t>
                  </w:r>
                  <w:r w:rsidRPr="005B24FD">
                    <w:rPr>
                      <w:spacing w:val="-2"/>
                      <w:w w:val="105"/>
                      <w:sz w:val="20"/>
                      <w:lang w:val="en-US"/>
                    </w:rPr>
                    <w:t>/INSALUD/León</w:t>
                  </w:r>
                </w:p>
              </w:tc>
            </w:tr>
          </w:tbl>
          <w:p w14:paraId="634FA562" w14:textId="77777777" w:rsidR="00CA4995" w:rsidRPr="001B41E8" w:rsidRDefault="00CA4995" w:rsidP="00CA4995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41E9"/>
    <w:multiLevelType w:val="hybridMultilevel"/>
    <w:tmpl w:val="B046052E"/>
    <w:lvl w:ilvl="0" w:tplc="FB1861D2">
      <w:start w:val="1"/>
      <w:numFmt w:val="decimal"/>
      <w:lvlText w:val="%1."/>
      <w:lvlJc w:val="left"/>
      <w:pPr>
        <w:ind w:left="292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1" w:tplc="46CA2F08">
      <w:numFmt w:val="bullet"/>
      <w:lvlText w:val="•"/>
      <w:lvlJc w:val="left"/>
      <w:pPr>
        <w:ind w:left="1228" w:hanging="224"/>
      </w:pPr>
      <w:rPr>
        <w:rFonts w:hint="default"/>
        <w:lang w:val="es-ES" w:eastAsia="en-US" w:bidi="ar-SA"/>
      </w:rPr>
    </w:lvl>
    <w:lvl w:ilvl="2" w:tplc="BF72078A">
      <w:numFmt w:val="bullet"/>
      <w:lvlText w:val="•"/>
      <w:lvlJc w:val="left"/>
      <w:pPr>
        <w:ind w:left="2156" w:hanging="224"/>
      </w:pPr>
      <w:rPr>
        <w:rFonts w:hint="default"/>
        <w:lang w:val="es-ES" w:eastAsia="en-US" w:bidi="ar-SA"/>
      </w:rPr>
    </w:lvl>
    <w:lvl w:ilvl="3" w:tplc="AE08F40A">
      <w:numFmt w:val="bullet"/>
      <w:lvlText w:val="•"/>
      <w:lvlJc w:val="left"/>
      <w:pPr>
        <w:ind w:left="3084" w:hanging="224"/>
      </w:pPr>
      <w:rPr>
        <w:rFonts w:hint="default"/>
        <w:lang w:val="es-ES" w:eastAsia="en-US" w:bidi="ar-SA"/>
      </w:rPr>
    </w:lvl>
    <w:lvl w:ilvl="4" w:tplc="EB768EE2">
      <w:numFmt w:val="bullet"/>
      <w:lvlText w:val="•"/>
      <w:lvlJc w:val="left"/>
      <w:pPr>
        <w:ind w:left="4012" w:hanging="224"/>
      </w:pPr>
      <w:rPr>
        <w:rFonts w:hint="default"/>
        <w:lang w:val="es-ES" w:eastAsia="en-US" w:bidi="ar-SA"/>
      </w:rPr>
    </w:lvl>
    <w:lvl w:ilvl="5" w:tplc="1876C836">
      <w:numFmt w:val="bullet"/>
      <w:lvlText w:val="•"/>
      <w:lvlJc w:val="left"/>
      <w:pPr>
        <w:ind w:left="4940" w:hanging="224"/>
      </w:pPr>
      <w:rPr>
        <w:rFonts w:hint="default"/>
        <w:lang w:val="es-ES" w:eastAsia="en-US" w:bidi="ar-SA"/>
      </w:rPr>
    </w:lvl>
    <w:lvl w:ilvl="6" w:tplc="4F56E640">
      <w:numFmt w:val="bullet"/>
      <w:lvlText w:val="•"/>
      <w:lvlJc w:val="left"/>
      <w:pPr>
        <w:ind w:left="5868" w:hanging="224"/>
      </w:pPr>
      <w:rPr>
        <w:rFonts w:hint="default"/>
        <w:lang w:val="es-ES" w:eastAsia="en-US" w:bidi="ar-SA"/>
      </w:rPr>
    </w:lvl>
    <w:lvl w:ilvl="7" w:tplc="C5CE27CA">
      <w:numFmt w:val="bullet"/>
      <w:lvlText w:val="•"/>
      <w:lvlJc w:val="left"/>
      <w:pPr>
        <w:ind w:left="6796" w:hanging="224"/>
      </w:pPr>
      <w:rPr>
        <w:rFonts w:hint="default"/>
        <w:lang w:val="es-ES" w:eastAsia="en-US" w:bidi="ar-SA"/>
      </w:rPr>
    </w:lvl>
    <w:lvl w:ilvl="8" w:tplc="BBF4F7D8">
      <w:numFmt w:val="bullet"/>
      <w:lvlText w:val="•"/>
      <w:lvlJc w:val="left"/>
      <w:pPr>
        <w:ind w:left="7724" w:hanging="224"/>
      </w:pPr>
      <w:rPr>
        <w:rFonts w:hint="default"/>
        <w:lang w:val="es-ES" w:eastAsia="en-US" w:bidi="ar-SA"/>
      </w:rPr>
    </w:lvl>
  </w:abstractNum>
  <w:abstractNum w:abstractNumId="1" w15:restartNumberingAfterBreak="0">
    <w:nsid w:val="215C01E3"/>
    <w:multiLevelType w:val="hybridMultilevel"/>
    <w:tmpl w:val="6F267972"/>
    <w:lvl w:ilvl="0" w:tplc="9B4AD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1311"/>
    <w:multiLevelType w:val="hybridMultilevel"/>
    <w:tmpl w:val="4974711A"/>
    <w:lvl w:ilvl="0" w:tplc="87EC1290">
      <w:start w:val="1"/>
      <w:numFmt w:val="decimal"/>
      <w:lvlText w:val="%1."/>
      <w:lvlJc w:val="left"/>
      <w:pPr>
        <w:ind w:left="292" w:hanging="27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1" w:tplc="A5A08086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3DAEA8F4">
      <w:numFmt w:val="bullet"/>
      <w:lvlText w:val="•"/>
      <w:lvlJc w:val="left"/>
      <w:pPr>
        <w:ind w:left="2156" w:hanging="279"/>
      </w:pPr>
      <w:rPr>
        <w:rFonts w:hint="default"/>
        <w:lang w:val="es-ES" w:eastAsia="en-US" w:bidi="ar-SA"/>
      </w:rPr>
    </w:lvl>
    <w:lvl w:ilvl="3" w:tplc="022E1F30">
      <w:numFmt w:val="bullet"/>
      <w:lvlText w:val="•"/>
      <w:lvlJc w:val="left"/>
      <w:pPr>
        <w:ind w:left="3084" w:hanging="279"/>
      </w:pPr>
      <w:rPr>
        <w:rFonts w:hint="default"/>
        <w:lang w:val="es-ES" w:eastAsia="en-US" w:bidi="ar-SA"/>
      </w:rPr>
    </w:lvl>
    <w:lvl w:ilvl="4" w:tplc="BCAE1064">
      <w:numFmt w:val="bullet"/>
      <w:lvlText w:val="•"/>
      <w:lvlJc w:val="left"/>
      <w:pPr>
        <w:ind w:left="4012" w:hanging="279"/>
      </w:pPr>
      <w:rPr>
        <w:rFonts w:hint="default"/>
        <w:lang w:val="es-ES" w:eastAsia="en-US" w:bidi="ar-SA"/>
      </w:rPr>
    </w:lvl>
    <w:lvl w:ilvl="5" w:tplc="0C3E2948">
      <w:numFmt w:val="bullet"/>
      <w:lvlText w:val="•"/>
      <w:lvlJc w:val="left"/>
      <w:pPr>
        <w:ind w:left="4940" w:hanging="279"/>
      </w:pPr>
      <w:rPr>
        <w:rFonts w:hint="default"/>
        <w:lang w:val="es-ES" w:eastAsia="en-US" w:bidi="ar-SA"/>
      </w:rPr>
    </w:lvl>
    <w:lvl w:ilvl="6" w:tplc="04F6CF16">
      <w:numFmt w:val="bullet"/>
      <w:lvlText w:val="•"/>
      <w:lvlJc w:val="left"/>
      <w:pPr>
        <w:ind w:left="5868" w:hanging="279"/>
      </w:pPr>
      <w:rPr>
        <w:rFonts w:hint="default"/>
        <w:lang w:val="es-ES" w:eastAsia="en-US" w:bidi="ar-SA"/>
      </w:rPr>
    </w:lvl>
    <w:lvl w:ilvl="7" w:tplc="04B4E674">
      <w:numFmt w:val="bullet"/>
      <w:lvlText w:val="•"/>
      <w:lvlJc w:val="left"/>
      <w:pPr>
        <w:ind w:left="6796" w:hanging="279"/>
      </w:pPr>
      <w:rPr>
        <w:rFonts w:hint="default"/>
        <w:lang w:val="es-ES" w:eastAsia="en-US" w:bidi="ar-SA"/>
      </w:rPr>
    </w:lvl>
    <w:lvl w:ilvl="8" w:tplc="80B29840">
      <w:numFmt w:val="bullet"/>
      <w:lvlText w:val="•"/>
      <w:lvlJc w:val="left"/>
      <w:pPr>
        <w:ind w:left="7724" w:hanging="279"/>
      </w:pPr>
      <w:rPr>
        <w:rFonts w:hint="default"/>
        <w:lang w:val="es-ES" w:eastAsia="en-US" w:bidi="ar-SA"/>
      </w:rPr>
    </w:lvl>
  </w:abstractNum>
  <w:abstractNum w:abstractNumId="4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5"/>
  </w:num>
  <w:num w:numId="2" w16cid:durableId="1170951403">
    <w:abstractNumId w:val="4"/>
  </w:num>
  <w:num w:numId="3" w16cid:durableId="369191781">
    <w:abstractNumId w:val="2"/>
  </w:num>
  <w:num w:numId="4" w16cid:durableId="1980528779">
    <w:abstractNumId w:val="1"/>
  </w:num>
  <w:num w:numId="5" w16cid:durableId="396560886">
    <w:abstractNumId w:val="3"/>
  </w:num>
  <w:num w:numId="6" w16cid:durableId="65853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B41E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C4DCB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C38E1"/>
    <w:rsid w:val="006D1FD2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80772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80772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0772"/>
    <w:rPr>
      <w:rFonts w:ascii="Arial" w:eastAsia="Arial" w:hAnsi="Arial" w:cs="Arial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41E8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1E8"/>
    <w:pPr>
      <w:widowControl w:val="0"/>
      <w:autoSpaceDE w:val="0"/>
      <w:autoSpaceDN w:val="0"/>
      <w:spacing w:before="6" w:after="0" w:line="240" w:lineRule="auto"/>
      <w:ind w:left="65"/>
    </w:pPr>
    <w:rPr>
      <w:rFonts w:ascii="Arial" w:eastAsia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6626</Characters>
  <Application>Microsoft Office Word</Application>
  <DocSecurity>0</DocSecurity>
  <Lines>189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AMPARO MARTINEZ MARTINEZ</cp:lastModifiedBy>
  <cp:revision>4</cp:revision>
  <dcterms:created xsi:type="dcterms:W3CDTF">2025-05-05T08:59:00Z</dcterms:created>
  <dcterms:modified xsi:type="dcterms:W3CDTF">2025-05-05T09:06:00Z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5bafcb0f-9adb-496f-8ab7-10970554828d</vt:lpwstr>
  </property>
</Properties>
</file>