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63CB2" w14:textId="3735C844" w:rsidR="00CA4995" w:rsidRPr="00564593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564593">
        <w:rPr>
          <w:b/>
          <w:bCs/>
          <w:sz w:val="36"/>
          <w:szCs w:val="36"/>
        </w:rPr>
        <w:t>Curso 2025/26</w:t>
      </w:r>
      <w:r w:rsidRPr="00564593">
        <w:rPr>
          <w:b/>
          <w:bCs/>
          <w:sz w:val="36"/>
          <w:szCs w:val="36"/>
        </w:rPr>
        <w:tab/>
      </w:r>
      <w:r w:rsidR="00CA4995" w:rsidRPr="00564593"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564593">
        <w:rPr>
          <w:b/>
          <w:bCs/>
          <w:sz w:val="36"/>
          <w:szCs w:val="36"/>
        </w:rPr>
        <w:fldChar w:fldCharType="begin"/>
      </w:r>
      <w:r w:rsidR="00CA4995" w:rsidRPr="00564593">
        <w:rPr>
          <w:b/>
          <w:bCs/>
          <w:sz w:val="36"/>
          <w:szCs w:val="36"/>
        </w:rPr>
        <w:instrText xml:space="preserve"> INCLUDEPICTURE "/Users/guadalupe/Library/Group Containers/UBF8T346G9.ms/WebArchiveCopyPasteTempFiles/com.microsoft.Word/ALiytD7Bb97pIFpeWt3qIi1jaMLStYpDO0Kg4WEcfn+D5M9TCnNmNeMAAAAAElFTkSuQmCC" \* MERGEFORMATINET </w:instrText>
      </w:r>
      <w:r w:rsidR="00CA4995" w:rsidRPr="00564593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564593" w:rsidRPr="00564593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564593" w:rsidRDefault="00CA4995" w:rsidP="00CA4995">
            <w:pPr>
              <w:pStyle w:val="Sinespaciado"/>
              <w:rPr>
                <w:b/>
                <w:bCs/>
              </w:rPr>
            </w:pPr>
            <w:r w:rsidRPr="00564593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64A81E51" w:rsidR="00CA4995" w:rsidRPr="00564593" w:rsidRDefault="0015279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64593">
              <w:rPr>
                <w:rFonts w:cs="Arial"/>
                <w:sz w:val="20"/>
                <w:szCs w:val="20"/>
              </w:rPr>
              <w:t>ÁNGELES ALONSO MORAGA</w:t>
            </w:r>
          </w:p>
        </w:tc>
      </w:tr>
      <w:tr w:rsidR="00564593" w:rsidRPr="00564593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564593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564593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305A413E" w:rsidR="00CA4995" w:rsidRPr="00564593" w:rsidRDefault="0015279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64593">
              <w:rPr>
                <w:rFonts w:cs="Arial"/>
                <w:sz w:val="20"/>
                <w:szCs w:val="20"/>
              </w:rPr>
              <w:t>CATEDRÁTICA</w:t>
            </w:r>
          </w:p>
        </w:tc>
      </w:tr>
      <w:tr w:rsidR="00564593" w:rsidRPr="00564593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564593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564593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7777777" w:rsidR="00CA4995" w:rsidRPr="00564593" w:rsidRDefault="00CA4995" w:rsidP="00CA4995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564593" w:rsidRPr="00564593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564593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564593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19387E42" w:rsidR="00CA4995" w:rsidRPr="00564593" w:rsidRDefault="0015279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64593"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564593" w:rsidRPr="00564593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564593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564593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3178FF01" w:rsidR="00CA4995" w:rsidRPr="00564593" w:rsidRDefault="0015279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64593"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564593" w:rsidRPr="00564593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564593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564593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23551D04" w:rsidR="00CA4995" w:rsidRPr="00564593" w:rsidRDefault="0015279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64593">
              <w:rPr>
                <w:rFonts w:cs="Arial"/>
                <w:sz w:val="20"/>
                <w:szCs w:val="20"/>
              </w:rPr>
              <w:t>+ 34 957 218674</w:t>
            </w:r>
          </w:p>
        </w:tc>
      </w:tr>
      <w:tr w:rsidR="00564593" w:rsidRPr="00564593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564593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564593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0859D6B6" w:rsidR="00CA4995" w:rsidRPr="00564593" w:rsidRDefault="00152798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64593">
              <w:rPr>
                <w:rFonts w:cs="Arial"/>
                <w:sz w:val="20"/>
                <w:szCs w:val="20"/>
              </w:rPr>
              <w:t>ge1almoa@uco.es</w:t>
            </w:r>
          </w:p>
        </w:tc>
      </w:tr>
      <w:tr w:rsidR="00564593" w:rsidRPr="00564593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564593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564593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17B88DC3" w:rsidR="00CA4995" w:rsidRPr="00564593" w:rsidRDefault="00F856C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64593">
              <w:rPr>
                <w:rFonts w:cs="Arial"/>
                <w:sz w:val="20"/>
                <w:szCs w:val="20"/>
              </w:rPr>
              <w:t>https://orcid.org/0000-0003-3651-5447</w:t>
            </w:r>
          </w:p>
        </w:tc>
      </w:tr>
      <w:tr w:rsidR="00564593" w:rsidRPr="00564593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564593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564593">
              <w:rPr>
                <w:b/>
                <w:bCs/>
                <w:noProof/>
                <w:lang w:eastAsia="es-ES"/>
              </w:rPr>
              <w:t>Página web:</w:t>
            </w:r>
          </w:p>
        </w:tc>
        <w:tc>
          <w:tcPr>
            <w:tcW w:w="6840" w:type="dxa"/>
          </w:tcPr>
          <w:p w14:paraId="3143F3B3" w14:textId="5FEC1D00" w:rsidR="0048254A" w:rsidRPr="00564593" w:rsidRDefault="00F856C7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64593">
              <w:rPr>
                <w:rFonts w:cs="Arial"/>
                <w:sz w:val="20"/>
                <w:szCs w:val="20"/>
              </w:rPr>
              <w:t>https://www.uco.es/organiza/departamentos/genetica/es/</w:t>
            </w:r>
          </w:p>
        </w:tc>
      </w:tr>
    </w:tbl>
    <w:p w14:paraId="18A9C54F" w14:textId="40A9DE3C" w:rsidR="00CA4995" w:rsidRPr="00564593" w:rsidRDefault="00CA4995"/>
    <w:tbl>
      <w:tblPr>
        <w:tblW w:w="94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564593" w:rsidRPr="00564593" w14:paraId="1198D971" w14:textId="77777777" w:rsidTr="00CA22ED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564593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564593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564593" w:rsidRPr="00564593" w14:paraId="3622C84C" w14:textId="77777777" w:rsidTr="00CA22ED">
        <w:trPr>
          <w:trHeight w:val="603"/>
        </w:trPr>
        <w:tc>
          <w:tcPr>
            <w:tcW w:w="9486" w:type="dxa"/>
            <w:vAlign w:val="center"/>
          </w:tcPr>
          <w:p w14:paraId="40032B31" w14:textId="77777777" w:rsidR="00F856C7" w:rsidRPr="00564593" w:rsidRDefault="00F856C7" w:rsidP="00CA4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564593">
              <w:rPr>
                <w:rFonts w:ascii="Arial" w:hAnsi="Arial" w:cs="Arial"/>
                <w:sz w:val="20"/>
                <w:szCs w:val="20"/>
                <w:lang w:eastAsia="ja-JP"/>
              </w:rPr>
              <w:t>GENOTOXICOLOGY</w:t>
            </w:r>
          </w:p>
          <w:p w14:paraId="27E5CE29" w14:textId="1E0E5FFD" w:rsidR="005034FB" w:rsidRPr="00564593" w:rsidRDefault="005034FB" w:rsidP="00CA4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564593">
              <w:rPr>
                <w:rFonts w:ascii="Arial" w:hAnsi="Arial" w:cs="Arial"/>
                <w:sz w:val="20"/>
                <w:szCs w:val="20"/>
                <w:lang w:eastAsia="ja-JP"/>
              </w:rPr>
              <w:t>GENETIC DATA ANALYSIS</w:t>
            </w:r>
          </w:p>
        </w:tc>
      </w:tr>
      <w:tr w:rsidR="00564593" w:rsidRPr="00564593" w14:paraId="70D7B6A1" w14:textId="77777777" w:rsidTr="00CA22ED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564593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564593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 de Investigación</w:t>
            </w:r>
          </w:p>
        </w:tc>
      </w:tr>
      <w:tr w:rsidR="00564593" w:rsidRPr="00564593" w14:paraId="1997467F" w14:textId="77777777" w:rsidTr="00CA22ED">
        <w:trPr>
          <w:trHeight w:val="612"/>
        </w:trPr>
        <w:tc>
          <w:tcPr>
            <w:tcW w:w="9486" w:type="dxa"/>
            <w:vAlign w:val="center"/>
          </w:tcPr>
          <w:p w14:paraId="5BEC6E70" w14:textId="6F1DB61C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Esquemas de selección de razas autóctonas, caracterización y conservación de</w:t>
            </w:r>
            <w:r w:rsidR="005034FB"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 xml:space="preserve">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recursos genéticos animales y de sus sistema</w:t>
            </w:r>
            <w:r w:rsidR="005034FB"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S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 xml:space="preserve"> productivos tradicionales. Genética y citogenética aplicada y</w:t>
            </w:r>
            <w:r w:rsidR="005034FB"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 xml:space="preserve">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molecular</w:t>
            </w:r>
          </w:p>
          <w:p w14:paraId="1855AD49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Ámbito geográfico: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Autonómica</w:t>
            </w:r>
          </w:p>
          <w:p w14:paraId="29E580E5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Entidad de realización: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Universidad de Córdoba</w:t>
            </w:r>
          </w:p>
          <w:p w14:paraId="648E8D95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Nombres investigadores principales (IP, Co-IP,...):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ANGELES ALONSO MORAGA</w:t>
            </w:r>
          </w:p>
          <w:p w14:paraId="4BDA7667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Nº de investigadores/as: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</w:t>
            </w:r>
          </w:p>
          <w:p w14:paraId="16FD2F21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Cód. según financiadora: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P.P. 2020 Subm 1.1 (AGR-158)</w:t>
            </w:r>
          </w:p>
          <w:p w14:paraId="0A05B313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Fecha de inicio: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31/01/2020</w:t>
            </w:r>
          </w:p>
          <w:p w14:paraId="315B3649" w14:textId="77777777" w:rsidR="00CA4995" w:rsidRPr="00564593" w:rsidRDefault="00CA22ED" w:rsidP="00CA22ED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Cuantía total: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6,042.35 €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V</w:t>
            </w:r>
          </w:p>
          <w:p w14:paraId="583FB0BF" w14:textId="77777777" w:rsidR="00CA22ED" w:rsidRPr="00564593" w:rsidRDefault="00CA22ED" w:rsidP="00CA22ED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  <w:p w14:paraId="640808D2" w14:textId="34449F90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AGR-0158 ESQUEMAS DE SELECCIÓN DE RAZAS AUTÓCTONAS,</w:t>
            </w:r>
          </w:p>
          <w:p w14:paraId="23474991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CARACTERIZACIÓN Y CONSERVACIÓN DE RECURSOS GENÉTICOS ANIMALES Y DE SUS</w:t>
            </w:r>
          </w:p>
          <w:p w14:paraId="00DDFB06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SISTEMAS PRODUCTIVOS TRADICIONALES. GENÉTICA Y CITOGENÉTICA APLICADA Y</w:t>
            </w:r>
          </w:p>
          <w:p w14:paraId="5EF3C342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MOLECULAR.</w:t>
            </w:r>
          </w:p>
          <w:p w14:paraId="4896B004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Ámbito geográfico: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Autonómica</w:t>
            </w:r>
          </w:p>
          <w:p w14:paraId="57EB641D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Entidad de realización: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100% UNIVERSIDAD DE CORDOBA</w:t>
            </w:r>
          </w:p>
          <w:p w14:paraId="7C6CA47E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Nombres investigadores principales (IP, Co-IP,...):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ANGELES ALONSO MORAGA</w:t>
            </w:r>
          </w:p>
          <w:p w14:paraId="6EEF6E8E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Nº de investigadores/as: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17</w:t>
            </w:r>
          </w:p>
          <w:p w14:paraId="7271364B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Cód. según financiadora: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XXII PP Mod.1 (2017)</w:t>
            </w:r>
          </w:p>
          <w:p w14:paraId="7C3CCD0F" w14:textId="77777777" w:rsidR="00CA22ED" w:rsidRPr="00564593" w:rsidRDefault="00CA22ED" w:rsidP="00CA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Fecha de inicio: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01/01/2017</w:t>
            </w:r>
          </w:p>
          <w:p w14:paraId="07A57FAE" w14:textId="77777777" w:rsidR="00CA22ED" w:rsidRPr="00564593" w:rsidRDefault="00CA22ED" w:rsidP="00CA22ED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Cuantía total: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1,634.95 €</w:t>
            </w:r>
          </w:p>
          <w:p w14:paraId="2B408C02" w14:textId="77777777" w:rsidR="00CA22ED" w:rsidRPr="00564593" w:rsidRDefault="00CA22ED" w:rsidP="00CA22ED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  <w:p w14:paraId="32FCB0B3" w14:textId="28C157F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ESQUEMAS DE SELECCIÓN DE RAZAS AUTÓCTONAS, CARACTERIZACIÓN</w:t>
            </w:r>
          </w:p>
          <w:p w14:paraId="23138BB6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Y CONSERVACIÓN DE RECURSOS GENÉTICOS ANIMALES Y DE SUS SISTEMAS PRODUCTIVOS</w:t>
            </w:r>
          </w:p>
          <w:p w14:paraId="3FE37FF0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TRADICIONALES. GENÉTICA Y CITOGENÉTICA APLICADA Y MOLECULAR.</w:t>
            </w:r>
          </w:p>
          <w:p w14:paraId="15AFE438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Ámbito geográfico: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Autonómica</w:t>
            </w:r>
          </w:p>
          <w:p w14:paraId="17D2FD81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Nombres investigadores principales (IP, Co-IP,...):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ANGELES ALONSO MORAGA</w:t>
            </w:r>
          </w:p>
          <w:p w14:paraId="14540A71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Nº de investigadores/as: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17</w:t>
            </w:r>
          </w:p>
          <w:p w14:paraId="77215CF3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Cód. según financiadora: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AGR-0158 (2017)</w:t>
            </w:r>
          </w:p>
          <w:p w14:paraId="29D02C57" w14:textId="77777777" w:rsidR="00CA22ED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Fecha de inicio: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01/01/2017</w:t>
            </w:r>
          </w:p>
          <w:p w14:paraId="5C46AA69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Cuantía total: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5,637.97 €</w:t>
            </w:r>
          </w:p>
          <w:p w14:paraId="2A005594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  <w:p w14:paraId="35DBCAF8" w14:textId="416BB23B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Desarrollo de alimentos funcionales con elevado potencial antioxidante y efectos</w:t>
            </w:r>
          </w:p>
          <w:p w14:paraId="4C0663E9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antitumorales y cardiosaludables, a partir de brotes de crucíferas seleccionadas y mejoradas p</w:t>
            </w:r>
          </w:p>
          <w:p w14:paraId="2C33B6FD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lastRenderedPageBreak/>
              <w:t xml:space="preserve">Ámbito geográfico: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Autonómica</w:t>
            </w:r>
          </w:p>
          <w:p w14:paraId="56FFDD7A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Grado de contribución: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Investigador/a</w:t>
            </w:r>
          </w:p>
          <w:p w14:paraId="30E07BCB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Entidad de realización: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80% FONDOS FEDER // 20% UNIVERSIDAD DE CÓRDOBA</w:t>
            </w:r>
          </w:p>
          <w:p w14:paraId="2EF9F8DB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Nombres investigadores principales (IP, Co-IP,...):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RAFAEL MORENO ROJAS</w:t>
            </w:r>
          </w:p>
          <w:p w14:paraId="46CCC8CB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Nº de investigadores/as: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11</w:t>
            </w:r>
          </w:p>
          <w:p w14:paraId="393FE86A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Cód. según financiadora: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XXI PP. Modalidad 4.1</w:t>
            </w:r>
          </w:p>
          <w:p w14:paraId="63C40E16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Fecha de inicio: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 xml:space="preserve">01/06/2016 </w:t>
            </w: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Duración: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364 días</w:t>
            </w:r>
          </w:p>
          <w:p w14:paraId="5A8293C6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Cuantía total: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12,000 €</w:t>
            </w:r>
          </w:p>
          <w:p w14:paraId="6CB7BB20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  <w:p w14:paraId="1D50C03D" w14:textId="35BB3223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PP GALILEO-2016-MI)AGR-158 ESQUEMAS DE SELECCIÓN DE RAZAS</w:t>
            </w:r>
            <w:r w:rsidR="005034FB"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 xml:space="preserve">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AUTÓCTONAS</w:t>
            </w:r>
          </w:p>
          <w:p w14:paraId="3DEB996F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Ámbito geográfico: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Autonómica</w:t>
            </w:r>
          </w:p>
          <w:p w14:paraId="126A16C9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Entidad de realización: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100% UNIVERSIDAD DE CÓRDOBA</w:t>
            </w:r>
          </w:p>
          <w:p w14:paraId="0AF8E03C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Nombres investigadores principales (IP, Co-IP,...):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ANGELES ALONSO MORAGA</w:t>
            </w:r>
          </w:p>
          <w:p w14:paraId="08BF0EA7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Nº de investigadores/as: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</w:t>
            </w:r>
          </w:p>
          <w:p w14:paraId="24A1E0A1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Cód. según financiadora: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PPGALILEO-2016-MI-AGR-158</w:t>
            </w:r>
          </w:p>
          <w:p w14:paraId="713350A9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Fecha de inicio: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29/04/2016</w:t>
            </w:r>
          </w:p>
          <w:p w14:paraId="648A14F4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Cuantía total: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3,013.86 €</w:t>
            </w:r>
          </w:p>
          <w:p w14:paraId="2118DE0B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  <w:p w14:paraId="10502201" w14:textId="029DC38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Nuevas tecnologías para el estudio de contaminantes en alimentos</w:t>
            </w:r>
          </w:p>
          <w:p w14:paraId="6D3549B7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Ámbito geográfico: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Otros</w:t>
            </w:r>
          </w:p>
          <w:p w14:paraId="3059EB04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Entidad de realización: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Ministerio de Economía, Agencia Estatal de Investigación del Ministerio de</w:t>
            </w:r>
          </w:p>
          <w:p w14:paraId="0499C3E9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Economía, Industria y Competitividad</w:t>
            </w:r>
          </w:p>
          <w:p w14:paraId="19FD71C0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Nombres investigadores principales (IP, Co-IP,...):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RAFAEL MORENO ROJAS</w:t>
            </w:r>
          </w:p>
          <w:p w14:paraId="2B019DC1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Nº de investigadores/as: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10</w:t>
            </w:r>
          </w:p>
          <w:p w14:paraId="437A8A7A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Cód. según financiadora: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UNCO15-CE-3755</w:t>
            </w:r>
          </w:p>
          <w:p w14:paraId="0AEA449E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Fecha de inicio: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 xml:space="preserve">01/01/2016 </w:t>
            </w: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Duración: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730 días</w:t>
            </w:r>
          </w:p>
          <w:p w14:paraId="663ADC6D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Cuantía total: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111,658 €</w:t>
            </w:r>
          </w:p>
          <w:p w14:paraId="2BBB0B28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  <w:p w14:paraId="1912DD66" w14:textId="67F677AE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Mejora de la Calidad y Resistencia en calabacín: Aproximación genómica</w:t>
            </w:r>
          </w:p>
          <w:p w14:paraId="03C45A84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Ámbito geográfico: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Nacional</w:t>
            </w:r>
          </w:p>
          <w:p w14:paraId="1ED11FDF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Entidad de realización: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Instituto Nacional de Investigacín Agraria</w:t>
            </w:r>
          </w:p>
          <w:p w14:paraId="57C05E0A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Nombres investigadores principales (IP, Co-IP,...):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PEDRO GOMEZ JIMENEZ DE CISNEROS</w:t>
            </w:r>
          </w:p>
          <w:p w14:paraId="09E49009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Nº de investigadores/as: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3</w:t>
            </w:r>
          </w:p>
          <w:p w14:paraId="20765A0D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Cód. según financiadora: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RTA2014-00078-00-00</w:t>
            </w:r>
          </w:p>
          <w:p w14:paraId="776961B6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Fecha de inicio: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 xml:space="preserve">17/09/2015 </w:t>
            </w: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Duración: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1065 días</w:t>
            </w:r>
          </w:p>
          <w:p w14:paraId="310B7638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Cuantía total: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90,000 €</w:t>
            </w:r>
          </w:p>
          <w:p w14:paraId="1A59918B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  <w:p w14:paraId="248871BB" w14:textId="0C4CF34E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(PP.GALILEO-2015-MI)AGR-158 ESQUEMAS DE SELECCIÓN DE RAZAS</w:t>
            </w:r>
          </w:p>
          <w:p w14:paraId="217FE223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AUTÓCTONAS, CARACTERIZACIÓN Y CONSERVACIÓN DE RECURSOS GENÉTICOS ANIMALES...</w:t>
            </w:r>
          </w:p>
          <w:p w14:paraId="42130BF7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Ámbito geográfico: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Autonómica</w:t>
            </w:r>
          </w:p>
          <w:p w14:paraId="6FBEE5DC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Entidad de realización: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100% UNIVERSIDAD DE CÓRDOBA</w:t>
            </w:r>
          </w:p>
          <w:p w14:paraId="09850EAE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Nombres investigadores principales (IP, Co-IP,...):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ANGELES ALONSO MORAGA</w:t>
            </w:r>
          </w:p>
          <w:p w14:paraId="5090D019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Nº de investigadores/as: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</w:t>
            </w:r>
          </w:p>
          <w:p w14:paraId="5E8C3356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Cód. según financiadora: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PPGALILEO-2015-MI-AGR158</w:t>
            </w:r>
          </w:p>
          <w:p w14:paraId="439A456E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Fecha de inicio: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01/06/2015</w:t>
            </w:r>
          </w:p>
          <w:p w14:paraId="020D9BAA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Cuantía total: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3,157.89 €</w:t>
            </w:r>
          </w:p>
          <w:p w14:paraId="6FA31CC3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  <w:p w14:paraId="3A4BECF0" w14:textId="541FE4AC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AGR-0158 ESQUEMAS DE SELECCIÓN DE RAZAS AUTÓCTONAS,</w:t>
            </w:r>
          </w:p>
          <w:p w14:paraId="0DCD7ECB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CARACTERIZACIÓN Y CONSERVACIÓN DE RECURSOS GENÉTICOS ANIMALES Y DE SUS</w:t>
            </w:r>
          </w:p>
          <w:p w14:paraId="1F85EFCA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SISTEMAS PRODUCTIVOS TRADICIONALES. GENÉTICA Y CITOGENÉTICA APLICADA Y</w:t>
            </w:r>
          </w:p>
          <w:p w14:paraId="704CDB24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MOLECULAR.</w:t>
            </w:r>
          </w:p>
          <w:p w14:paraId="4F7FEE36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Ámbito geográfico: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Autonómica</w:t>
            </w:r>
          </w:p>
          <w:p w14:paraId="79E26A73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Entidad de realización: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100% UNIVERSIDAD DE CÓRDOBA</w:t>
            </w:r>
          </w:p>
          <w:p w14:paraId="7E1AC000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Nombres investigadores principales (IP, Co-IP,...):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ANGELES ALONSO MORAGA</w:t>
            </w:r>
          </w:p>
          <w:p w14:paraId="6344B483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Nº de investigadores/as: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</w:t>
            </w:r>
          </w:p>
          <w:p w14:paraId="5DCDF0D0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Cód. según financiadora: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XX PP Mod.1 (2015) AGR-0158</w:t>
            </w:r>
          </w:p>
          <w:p w14:paraId="409C32A1" w14:textId="77777777" w:rsidR="00A624B7" w:rsidRPr="00564593" w:rsidRDefault="00A624B7" w:rsidP="00A6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Fecha de inicio: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01/01/2015</w:t>
            </w:r>
          </w:p>
          <w:p w14:paraId="1E366972" w14:textId="77777777" w:rsidR="00A624B7" w:rsidRPr="00564593" w:rsidRDefault="00A624B7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  <w:r w:rsidRPr="00564593">
              <w:rPr>
                <w:rFonts w:ascii="740Ef474ArialUnicodeMS" w:eastAsia="Calibri" w:hAnsi="740Ef474ArialUnicodeMS" w:cs="740Ef474ArialUnicodeMS"/>
                <w:sz w:val="20"/>
                <w:szCs w:val="20"/>
                <w:lang w:val="es-ES" w:eastAsia="en-US"/>
                <w14:ligatures w14:val="standardContextual"/>
              </w:rPr>
              <w:t xml:space="preserve">Cuantía total: </w:t>
            </w:r>
            <w:r w:rsidRPr="00564593"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  <w:t>1,555.84 €</w:t>
            </w:r>
          </w:p>
          <w:p w14:paraId="1D97825D" w14:textId="77777777" w:rsidR="005034FB" w:rsidRPr="00564593" w:rsidRDefault="005034FB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  <w:p w14:paraId="6234AB2A" w14:textId="2877F8FB" w:rsidR="005034FB" w:rsidRPr="00564593" w:rsidRDefault="005034FB" w:rsidP="00A624B7">
            <w:pPr>
              <w:spacing w:after="0" w:line="240" w:lineRule="auto"/>
              <w:rPr>
                <w:rFonts w:ascii="739Ef457ArialUnicodeMS" w:eastAsia="Calibri" w:hAnsi="739Ef457ArialUnicodeMS" w:cs="739Ef457ArialUnicodeMS"/>
                <w:sz w:val="20"/>
                <w:szCs w:val="20"/>
                <w:lang w:val="es-ES" w:eastAsia="en-US"/>
                <w14:ligatures w14:val="standardContextual"/>
              </w:rPr>
            </w:pPr>
          </w:p>
        </w:tc>
      </w:tr>
      <w:tr w:rsidR="00564593" w:rsidRPr="00564593" w14:paraId="2F53B601" w14:textId="77777777" w:rsidTr="00CA22ED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564593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564593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Publicaciones</w:t>
            </w:r>
          </w:p>
        </w:tc>
      </w:tr>
      <w:tr w:rsidR="00564593" w:rsidRPr="00564593" w14:paraId="09B5FC1A" w14:textId="77777777" w:rsidTr="00CA22ED">
        <w:trPr>
          <w:trHeight w:val="696"/>
        </w:trPr>
        <w:tc>
          <w:tcPr>
            <w:tcW w:w="9486" w:type="dxa"/>
            <w:vAlign w:val="center"/>
          </w:tcPr>
          <w:p w14:paraId="00DE48A9" w14:textId="0897984F" w:rsidR="009C4374" w:rsidRPr="00564593" w:rsidRDefault="00EA6C79" w:rsidP="009C4374">
            <w:pPr>
              <w:pStyle w:val="Textoindependiente"/>
              <w:spacing w:before="129"/>
              <w:ind w:left="794"/>
            </w:pPr>
            <w:r>
              <w:rPr>
                <w:sz w:val="20"/>
                <w:szCs w:val="20"/>
                <w:shd w:val="clear" w:color="auto" w:fill="FFFFFF"/>
              </w:rPr>
              <w:t>MATEO-FERNANDEZ, M. ALVES-MARTINEZ, P., DEL RIO CELESTINO, M. FONT, R, MERINAS-AMO T.&amp; ALONSO.MORAGA A.</w:t>
            </w:r>
            <w:r w:rsidR="009C4374" w:rsidRPr="00564593">
              <w:rPr>
                <w:sz w:val="20"/>
                <w:szCs w:val="20"/>
                <w:shd w:val="clear" w:color="auto" w:fill="FFFFFF"/>
              </w:rPr>
              <w:t xml:space="preserve"> (2025). </w:t>
            </w:r>
            <w:r w:rsidR="009C4374" w:rsidRPr="00564593">
              <w:rPr>
                <w:sz w:val="20"/>
                <w:szCs w:val="20"/>
                <w:shd w:val="clear" w:color="auto" w:fill="FFFFFF"/>
                <w:lang w:val="en-US"/>
              </w:rPr>
              <w:t>Nutraceutical Potential and Food Safety of Fructose in Soda and Diet Beverages. </w:t>
            </w:r>
            <w:r w:rsidR="009C4374" w:rsidRPr="00564593">
              <w:rPr>
                <w:i/>
                <w:iCs/>
                <w:sz w:val="20"/>
                <w:szCs w:val="20"/>
                <w:shd w:val="clear" w:color="auto" w:fill="FFFFFF"/>
              </w:rPr>
              <w:t>Foods</w:t>
            </w:r>
            <w:r w:rsidR="009C4374" w:rsidRPr="00564593">
              <w:rPr>
                <w:sz w:val="20"/>
                <w:szCs w:val="20"/>
                <w:shd w:val="clear" w:color="auto" w:fill="FFFFFF"/>
              </w:rPr>
              <w:t>, </w:t>
            </w:r>
            <w:r w:rsidR="009C4374" w:rsidRPr="00564593">
              <w:rPr>
                <w:i/>
                <w:iCs/>
                <w:sz w:val="20"/>
                <w:szCs w:val="20"/>
                <w:shd w:val="clear" w:color="auto" w:fill="FFFFFF"/>
              </w:rPr>
              <w:t>14</w:t>
            </w:r>
            <w:r w:rsidR="009C4374" w:rsidRPr="00564593">
              <w:rPr>
                <w:sz w:val="20"/>
                <w:szCs w:val="20"/>
                <w:shd w:val="clear" w:color="auto" w:fill="FFFFFF"/>
              </w:rPr>
              <w:t>(4), 648.</w:t>
            </w:r>
          </w:p>
          <w:p w14:paraId="6A963862" w14:textId="77777777" w:rsidR="009C4374" w:rsidRPr="00564593" w:rsidRDefault="009C4374" w:rsidP="009C4374">
            <w:pPr>
              <w:pStyle w:val="Textoindependiente"/>
              <w:spacing w:before="129"/>
              <w:ind w:left="794"/>
            </w:pPr>
            <w:r w:rsidRPr="00564593">
              <w:t xml:space="preserve">MERINAS-AMO, T., MERINAS-AMO, R., MÁRQUEZ-PRADOS, L., FONT, R., CELECTINO, M. D. R., &amp; ALONSO-MORAGA, Á. (2025). </w:t>
            </w:r>
            <w:r w:rsidRPr="00564593">
              <w:rPr>
                <w:lang w:val="en-US"/>
              </w:rPr>
              <w:t>Bioassays to Assess the Safety of Potassium and Sodium Nitrates and Nitrites. </w:t>
            </w:r>
            <w:r w:rsidRPr="00564593">
              <w:t>Processes, 13(2), 325. ISSN 2227-9717</w:t>
            </w:r>
          </w:p>
          <w:p w14:paraId="6EA9908A" w14:textId="77777777" w:rsidR="009C4374" w:rsidRPr="00564593" w:rsidRDefault="009C4374" w:rsidP="009C4374">
            <w:pPr>
              <w:pStyle w:val="Textoindependiente"/>
              <w:spacing w:before="129"/>
              <w:ind w:left="794"/>
            </w:pPr>
            <w:hyperlink r:id="rId6" w:history="1">
              <w:r w:rsidRPr="00564593">
                <w:t>MERINAS-AMO, T.</w:t>
              </w:r>
            </w:hyperlink>
            <w:r w:rsidRPr="00564593">
              <w:t xml:space="preserve">, </w:t>
            </w:r>
            <w:hyperlink r:id="rId7" w:history="1">
              <w:r w:rsidRPr="00564593">
                <w:t>MERINAS-AMO, R.</w:t>
              </w:r>
            </w:hyperlink>
            <w:r w:rsidRPr="00564593">
              <w:t xml:space="preserve">, </w:t>
            </w:r>
            <w:hyperlink r:id="rId8" w:history="1">
              <w:r w:rsidRPr="00564593">
                <w:t>ALONSO-MORAGA, Á.</w:t>
              </w:r>
            </w:hyperlink>
            <w:r w:rsidRPr="00564593">
              <w:t xml:space="preserve">, </w:t>
            </w:r>
            <w:hyperlink r:id="rId9" w:history="1">
              <w:r w:rsidRPr="00564593">
                <w:t>FONT, R.</w:t>
              </w:r>
            </w:hyperlink>
            <w:r w:rsidRPr="00564593">
              <w:t xml:space="preserve">, </w:t>
            </w:r>
            <w:hyperlink r:id="rId10" w:history="1">
              <w:r w:rsidRPr="00564593">
                <w:t>DEL RÍO CELESTINO, M.</w:t>
              </w:r>
            </w:hyperlink>
            <w:hyperlink r:id="rId11" w:history="1">
              <w:r w:rsidRPr="00564593">
                <w:rPr>
                  <w:lang w:val="en-US"/>
                </w:rPr>
                <w:t>In Vivo and In Vitro Studies Assessing the Safety of Monosodium Glutamate</w:t>
              </w:r>
            </w:hyperlink>
            <w:r w:rsidRPr="00564593">
              <w:rPr>
                <w:lang w:val="en-US"/>
              </w:rPr>
              <w:t>.</w:t>
            </w:r>
            <w:hyperlink r:id="rId12" w:history="1">
              <w:r w:rsidRPr="00564593">
                <w:t>Foods</w:t>
              </w:r>
            </w:hyperlink>
            <w:r w:rsidRPr="00564593">
              <w:t>, 2024, 13(23), 3981. ISSN 2304-8158</w:t>
            </w:r>
          </w:p>
          <w:p w14:paraId="770C6CE3" w14:textId="77777777" w:rsidR="009C4374" w:rsidRPr="00564593" w:rsidRDefault="009C4374" w:rsidP="009C4374">
            <w:pPr>
              <w:pStyle w:val="Textoindependiente"/>
              <w:spacing w:before="129"/>
              <w:ind w:left="794"/>
            </w:pPr>
            <w:r w:rsidRPr="00564593">
              <w:t xml:space="preserve">MARCOS MATEO FERNÁNDEZ; MERCEDES DEL RIO CELESTINO; RAFAEL FONT VILLA; ANGELES ALONSO MORAGA; MARIA TANIA MERINAS AMO. </w:t>
            </w:r>
            <w:r w:rsidRPr="00564593">
              <w:rPr>
                <w:lang w:val="en-US"/>
              </w:rPr>
              <w:t xml:space="preserve">Toxicological and Nutraceutical Screening Assays of Some Artificial Sweeteners. Processes. </w:t>
            </w:r>
            <w:r w:rsidRPr="00564593">
              <w:t>10 - 2, pp. 410. 2022. ISSN 2227-9717</w:t>
            </w:r>
          </w:p>
          <w:p w14:paraId="0766E662" w14:textId="77777777" w:rsidR="009C4374" w:rsidRPr="00564593" w:rsidRDefault="009C4374" w:rsidP="009C4374">
            <w:pPr>
              <w:pStyle w:val="Textoindependiente"/>
              <w:spacing w:before="129"/>
              <w:ind w:left="794"/>
            </w:pPr>
            <w:r w:rsidRPr="00564593">
              <w:t>MARIA TANIA MERINAS AMO; MERCEDES DEL RIO CELESTINO; RAFAEL FONT VILLA; ANGELES ALONSO</w:t>
            </w:r>
          </w:p>
          <w:p w14:paraId="11A0F8B9" w14:textId="77777777" w:rsidR="009C4374" w:rsidRPr="00564593" w:rsidRDefault="009C4374" w:rsidP="009C4374">
            <w:pPr>
              <w:pStyle w:val="Textoindependiente"/>
              <w:spacing w:before="6" w:line="249" w:lineRule="auto"/>
              <w:ind w:left="794"/>
              <w:rPr>
                <w:lang w:val="en-US"/>
              </w:rPr>
            </w:pPr>
            <w:r w:rsidRPr="00564593">
              <w:rPr>
                <w:lang w:val="en-US"/>
              </w:rPr>
              <w:t>MORAGA. Safety and Protective Activities of Manufactured Alcohol-Free Beers. Processes. 10 - 2, pp. 331. 2022. ISSN 2227-9717</w:t>
            </w:r>
          </w:p>
          <w:p w14:paraId="28BC7CFB" w14:textId="3C4A189E" w:rsidR="009C4374" w:rsidRPr="00564593" w:rsidRDefault="00747AA0" w:rsidP="005034FB">
            <w:pPr>
              <w:pStyle w:val="Textoindependiente"/>
              <w:spacing w:before="129"/>
              <w:ind w:left="794"/>
              <w:rPr>
                <w:lang w:val="en-US"/>
              </w:rPr>
            </w:pPr>
            <w:r>
              <w:rPr>
                <w:lang w:val="en-US"/>
              </w:rPr>
              <w:t>FRANKOVA, A; VISTEJNOVA</w:t>
            </w:r>
            <w:r w:rsidR="009C4374" w:rsidRPr="00564593">
              <w:rPr>
                <w:lang w:val="en-US"/>
              </w:rPr>
              <w:t>, L; MA</w:t>
            </w:r>
            <w:r>
              <w:rPr>
                <w:lang w:val="en-US"/>
              </w:rPr>
              <w:t>RIA TANIA MERINAS AMO; LEHECKOVA</w:t>
            </w:r>
            <w:r w:rsidR="009C4374" w:rsidRPr="00564593">
              <w:rPr>
                <w:lang w:val="en-US"/>
              </w:rPr>
              <w:t>, Z; D</w:t>
            </w:r>
            <w:r>
              <w:rPr>
                <w:lang w:val="en-US"/>
              </w:rPr>
              <w:t>OSKOCIL</w:t>
            </w:r>
            <w:r w:rsidR="009C4374" w:rsidRPr="00564593">
              <w:rPr>
                <w:lang w:val="en-US"/>
              </w:rPr>
              <w:t>, I;</w:t>
            </w:r>
            <w:r>
              <w:rPr>
                <w:lang w:val="en-US"/>
              </w:rPr>
              <w:t xml:space="preserve"> WONG-SOON, J; KUDERA, T; LAUPUA</w:t>
            </w:r>
            <w:r w:rsidR="009C4374" w:rsidRPr="00564593">
              <w:rPr>
                <w:lang w:val="en-US"/>
              </w:rPr>
              <w:t>, F; AN</w:t>
            </w:r>
            <w:r>
              <w:rPr>
                <w:lang w:val="en-US"/>
              </w:rPr>
              <w:t>GELES ALONSO MORAGA; KOKOSHKA</w:t>
            </w:r>
            <w:r w:rsidR="009C4374" w:rsidRPr="00564593">
              <w:rPr>
                <w:lang w:val="en-US"/>
              </w:rPr>
              <w:t>, L. In vitro antibacterial activity of extracts from Samoan medicinal plants and their effect on proliferation and migration of human fibroblasts. Journal of Ethnopharmacology. 264 - -, pp. 113220 - -. 2021. ISSN 1872-7573</w:t>
            </w:r>
          </w:p>
          <w:p w14:paraId="40A2D162" w14:textId="550643C4" w:rsidR="009C4374" w:rsidRPr="00564593" w:rsidRDefault="009C4374" w:rsidP="005034FB">
            <w:pPr>
              <w:pStyle w:val="Textoindependiente"/>
              <w:spacing w:before="129"/>
              <w:ind w:left="794"/>
            </w:pPr>
            <w:r w:rsidRPr="00564593">
              <w:t xml:space="preserve">MARIA TANIA MERINAS AMO; </w:t>
            </w:r>
            <w:r w:rsidR="00747AA0">
              <w:t>MERINAS-AMO, ROCIO</w:t>
            </w:r>
            <w:r w:rsidRPr="00564593">
              <w:t xml:space="preserve">; RAFAEL FONT VILLA; MERCEDES DEL RIO CELESTINO; ANGELES ALONSO MORAGA. </w:t>
            </w:r>
            <w:r w:rsidRPr="00564593">
              <w:rPr>
                <w:lang w:val="en-US"/>
              </w:rPr>
              <w:t xml:space="preserve">Toxicological and epigenetic studies of two types of ale beer, tyrosol and iso-alpha humulone. </w:t>
            </w:r>
            <w:r w:rsidRPr="00564593">
              <w:t>Proc</w:t>
            </w:r>
            <w:r w:rsidR="005034FB" w:rsidRPr="00564593">
              <w:t>esses. 9 - 3, pp. 485 - -. 2021</w:t>
            </w:r>
            <w:r w:rsidRPr="00564593">
              <w:t>. ISSN 2227-9717</w:t>
            </w:r>
          </w:p>
          <w:p w14:paraId="09D96B78" w14:textId="13346743" w:rsidR="00CA4995" w:rsidRPr="00564593" w:rsidRDefault="009C4374" w:rsidP="005034FB">
            <w:pPr>
              <w:pStyle w:val="Textoindependiente"/>
              <w:spacing w:before="129"/>
              <w:ind w:left="794"/>
            </w:pPr>
            <w:r w:rsidRPr="00564593">
              <w:t xml:space="preserve">MARCOS MATEO FERNÁNDEZ; </w:t>
            </w:r>
            <w:r w:rsidR="00747AA0">
              <w:t>VALENZUELA-GOMEZ, FERNANDO</w:t>
            </w:r>
            <w:bookmarkStart w:id="0" w:name="_GoBack"/>
            <w:bookmarkEnd w:id="0"/>
            <w:r w:rsidRPr="00564593">
              <w:t xml:space="preserve">; RAFAEL FONT VILLA; MERCEDES DEL RIO CELESTINO; MARIA TANIA MERINAS AMO; ANGELES ALONSO MORAGA. </w:t>
            </w:r>
            <w:r w:rsidRPr="00564593">
              <w:rPr>
                <w:lang w:val="en-US"/>
              </w:rPr>
              <w:t>In vivo and in vitro assays</w:t>
            </w:r>
            <w:r w:rsidR="005034FB" w:rsidRPr="00564593">
              <w:rPr>
                <w:lang w:val="en-US"/>
              </w:rPr>
              <w:t xml:space="preserve"> </w:t>
            </w:r>
            <w:r w:rsidRPr="00564593">
              <w:rPr>
                <w:lang w:val="en-US"/>
              </w:rPr>
              <w:t xml:space="preserve">evaluating the biological activity of taurine, glucose and energetic beverages. </w:t>
            </w:r>
            <w:r w:rsidRPr="00564593">
              <w:t>Molecu</w:t>
            </w:r>
            <w:r w:rsidR="005034FB" w:rsidRPr="00564593">
              <w:t>les. 26 - 8, pp. 2198 - -. 2021</w:t>
            </w:r>
            <w:r w:rsidRPr="00564593">
              <w:t>. ISSN 1420-304</w:t>
            </w:r>
            <w:r w:rsidRPr="00564593">
              <w:t>9</w:t>
            </w:r>
          </w:p>
          <w:p w14:paraId="74FC81C7" w14:textId="35EBF73E" w:rsidR="005034FB" w:rsidRPr="00564593" w:rsidRDefault="005034FB" w:rsidP="005034FB">
            <w:pPr>
              <w:pStyle w:val="Textoindependiente"/>
              <w:spacing w:before="129"/>
              <w:ind w:left="794"/>
            </w:pPr>
            <w:r w:rsidRPr="00564593">
              <w:t xml:space="preserve">LOURDES CASAS CARDOSO; CASIMIRO MANTELL SERRANO; SARA OBREGÓN CANO; Cristina Cejudo Bastante; ANGELES ALONSO MORAGA; ENRIQUE JOSE MARTINEZ DE LA OSSA FERNÁNDEZ; ANTONIO DE HARO BAILÓN. </w:t>
            </w:r>
            <w:r w:rsidRPr="00564593">
              <w:rPr>
                <w:lang w:val="en-US"/>
              </w:rPr>
              <w:t xml:space="preserve">Health-promoting properties of borage seed oil fractionated by supercritical carbon dioxide extraction. Foods: Open Access Journal. 10 - -, pp. 2471 - -. 2021. </w:t>
            </w:r>
            <w:r w:rsidRPr="00564593">
              <w:t>ISSN 2304-8158</w:t>
            </w:r>
          </w:p>
          <w:p w14:paraId="42127071" w14:textId="11555EF3" w:rsidR="005034FB" w:rsidRPr="00564593" w:rsidRDefault="005034FB" w:rsidP="005034FB">
            <w:pPr>
              <w:pStyle w:val="Textoindependiente"/>
              <w:spacing w:before="129"/>
              <w:ind w:left="794"/>
            </w:pPr>
            <w:r w:rsidRPr="00564593">
              <w:t xml:space="preserve">MARIA TANIA MERINAS AMO; MARIA DE LOS DOLORES LOZANO BAENA; SARA OBREGÓN CANO; ANGELES ALONSO MORAGA; ANTONIO DE HARO BAILÓN. </w:t>
            </w:r>
            <w:r w:rsidRPr="00564593">
              <w:rPr>
                <w:lang w:val="en-US"/>
              </w:rPr>
              <w:t xml:space="preserve">Role of glucosinolates in the nutraceutical potential of selected cultivars of Brassica rapa. Foods: Open Access Journal. 10 - 11, pp. 2720 - -. </w:t>
            </w:r>
            <w:r w:rsidRPr="00564593">
              <w:t>2021</w:t>
            </w:r>
            <w:r w:rsidRPr="00564593">
              <w:t xml:space="preserve">. </w:t>
            </w:r>
            <w:r w:rsidRPr="00564593">
              <w:t>ISSN 2304-8158</w:t>
            </w:r>
          </w:p>
          <w:p w14:paraId="273C1D6A" w14:textId="77777777" w:rsidR="005034FB" w:rsidRPr="00564593" w:rsidRDefault="005034FB" w:rsidP="005034FB">
            <w:pPr>
              <w:pStyle w:val="Textoindependiente"/>
              <w:spacing w:before="129"/>
              <w:ind w:left="794"/>
            </w:pPr>
            <w:r w:rsidRPr="00564593">
              <w:t>MARÍA ÁNGELES TOLEDANO MEDINA; MARIA TANIA MERINAS AMO; Zahira Fernández Bedmar; RAFAEL FONT VILLA; MERCEDES DEL RIO CELESTINO; JESUS PEREZ APARICIO; Alicia Moreno Ortega; ANGELES</w:t>
            </w:r>
          </w:p>
          <w:p w14:paraId="48412162" w14:textId="2D0206F4" w:rsidR="005034FB" w:rsidRPr="00564593" w:rsidRDefault="005034FB" w:rsidP="005034FB">
            <w:pPr>
              <w:pStyle w:val="Textoindependiente"/>
              <w:spacing w:before="129"/>
              <w:ind w:left="794"/>
            </w:pPr>
            <w:r w:rsidRPr="00564593">
              <w:t xml:space="preserve">ALONSO MORAGA; RAFAEL MORENO ROJAS. </w:t>
            </w:r>
            <w:r w:rsidRPr="00564593">
              <w:rPr>
                <w:lang w:val="en-US"/>
              </w:rPr>
              <w:t>Physicochemical characterization and biological activities of black and white garlic: In vivo and in vitro assays. Foods: Open Access Journal. 8 - 6, pp. 220 - -. 2019</w:t>
            </w:r>
            <w:r w:rsidRPr="00564593">
              <w:rPr>
                <w:lang w:val="en-US"/>
              </w:rPr>
              <w:t xml:space="preserve">. </w:t>
            </w:r>
            <w:r w:rsidRPr="00564593">
              <w:t>ISSN 2304-8158</w:t>
            </w:r>
          </w:p>
          <w:p w14:paraId="2C77114F" w14:textId="1645AEE3" w:rsidR="005034FB" w:rsidRPr="00564593" w:rsidRDefault="005034FB" w:rsidP="005034FB">
            <w:pPr>
              <w:pStyle w:val="Textoindependiente"/>
              <w:spacing w:before="129"/>
              <w:ind w:left="794"/>
            </w:pPr>
            <w:r w:rsidRPr="00564593">
              <w:lastRenderedPageBreak/>
              <w:t xml:space="preserve">MARIA TANIA MERINAS AMO; Merinas-amo, Rocío; García-zorrilla, Victoria; Velasco-ruiz, Alejandro; Chladek, Ladislav; Plachy, Vladimir; MERCEDES DEL RIO CELESTINO; RAFAEL FONT VILLA; Kokoska, Ladislav; ANGELES ALONSO MORAGA. </w:t>
            </w:r>
            <w:r w:rsidRPr="00564593">
              <w:rPr>
                <w:lang w:val="en-US"/>
              </w:rPr>
              <w:t xml:space="preserve">Toxicological studies of Czech beers and their constituents. Foods: Open Access Journal. </w:t>
            </w:r>
            <w:r w:rsidRPr="00564593">
              <w:t>8 - 8, pp. 328 - -. 2019. ISSN 2304-8158</w:t>
            </w:r>
          </w:p>
          <w:p w14:paraId="6EDFD3CC" w14:textId="411FFF59" w:rsidR="005034FB" w:rsidRPr="00564593" w:rsidRDefault="005034FB" w:rsidP="005034FB">
            <w:pPr>
              <w:pStyle w:val="Textoindependiente"/>
              <w:spacing w:before="129"/>
              <w:ind w:left="794"/>
            </w:pPr>
            <w:r w:rsidRPr="00564593">
              <w:t xml:space="preserve">MARCOS MATEO FERNÁNDEZ; PILAR ALVES MARTINEZ; MERCEDES DEL RIO CELESTINO; RAFAEL FONT VILLA; MARIA TANIA MERINAS AMO; ANGELES ALONSO MORAGA. </w:t>
            </w:r>
            <w:r w:rsidRPr="00564593">
              <w:rPr>
                <w:lang w:val="en-US"/>
              </w:rPr>
              <w:t xml:space="preserve">Food safety and nutraceutical potential of caramel colour class IV using in vivo and in vitro assays. Foods: Open Access Journal. 8 - 9, pp. 392 - -. 2019. </w:t>
            </w:r>
            <w:r w:rsidRPr="00564593">
              <w:t>ISSN 2304-8158</w:t>
            </w:r>
          </w:p>
          <w:p w14:paraId="432B6BED" w14:textId="5B6C4F20" w:rsidR="005034FB" w:rsidRPr="00564593" w:rsidRDefault="005034FB" w:rsidP="005034FB">
            <w:pPr>
              <w:pStyle w:val="Textoindependiente"/>
              <w:spacing w:before="129"/>
              <w:ind w:left="794"/>
            </w:pPr>
            <w:r w:rsidRPr="00564593">
              <w:t xml:space="preserve">Merinas-amo, Rocío; Martínez-jurado, María; Silvia Jurado Güeto; ANGELES ALONSO MORAGA; MARIA TANIA MERINAS AMO. </w:t>
            </w:r>
            <w:r w:rsidRPr="00564593">
              <w:rPr>
                <w:lang w:val="en-US"/>
              </w:rPr>
              <w:t xml:space="preserve">Biological effects of food coloring in in vivo and in vitro model systems. Foods: Open Access Journal. 8 - 5, pp. 176 - -. 2019. </w:t>
            </w:r>
          </w:p>
          <w:p w14:paraId="73D836A4" w14:textId="355EDE8F" w:rsidR="005034FB" w:rsidRPr="00564593" w:rsidRDefault="005034FB" w:rsidP="005034FB">
            <w:pPr>
              <w:pStyle w:val="Textoindependiente"/>
              <w:spacing w:before="129"/>
              <w:ind w:left="794"/>
            </w:pPr>
            <w:r w:rsidRPr="00564593">
              <w:t xml:space="preserve">Zahira Fernández Bedmar; JAOUAD ANTER; ANGELES ALONSO MORAGA; MARIA DEL PILAR DELGADO DE LA TORRE; MARÍA DOLORES LUQUE DE CASTRO; MARIA YOLANDA MILLÁN RUIZ; Marina Esther Sánchez Frías; SILVIA GUIL LUNA. </w:t>
            </w:r>
            <w:r w:rsidRPr="00564593">
              <w:rPr>
                <w:lang w:val="en-US"/>
              </w:rPr>
              <w:t xml:space="preserve">Red and white wine lees show inhibitory effects on liver carcinogenesis. </w:t>
            </w:r>
            <w:r w:rsidRPr="00564593">
              <w:t>Molecular Nutrition &amp; Food Research. 63 - 9, pp. e1800864 - -. ISSN 1613-4133</w:t>
            </w:r>
          </w:p>
          <w:p w14:paraId="72683481" w14:textId="17375512" w:rsidR="004C38CE" w:rsidRPr="00564593" w:rsidRDefault="004C38CE" w:rsidP="004C38CE">
            <w:pPr>
              <w:pStyle w:val="Textoindependiente"/>
              <w:spacing w:before="129"/>
              <w:ind w:left="794"/>
            </w:pPr>
            <w:r w:rsidRPr="00564593">
              <w:t xml:space="preserve">MARIA TANIA MERINAS AMO; Merinas-amo, Rocio; ANGELES ALONSO MORAGA. </w:t>
            </w:r>
            <w:r w:rsidRPr="00564593">
              <w:rPr>
                <w:lang w:val="en-US"/>
              </w:rPr>
              <w:t xml:space="preserve">A clinical pilot assay of beer consumption: Modulation in the methylation status patterns of repetitive sequences. </w:t>
            </w:r>
            <w:r w:rsidRPr="00564593">
              <w:t>Sylwan. 161 - 6, pp. 135 -156. 2018. ISSN 0039-7660</w:t>
            </w:r>
          </w:p>
          <w:p w14:paraId="6953DA07" w14:textId="2E057D28" w:rsidR="004C38CE" w:rsidRPr="00564593" w:rsidRDefault="004C38CE" w:rsidP="004C38CE">
            <w:pPr>
              <w:pStyle w:val="Textoindependiente"/>
              <w:spacing w:before="129"/>
              <w:ind w:left="794"/>
            </w:pPr>
            <w:r w:rsidRPr="00564593">
              <w:t xml:space="preserve">Zahira Fernández Bedmar; JAOUAD ANTER; ANGELES ALONSO MORAGA. </w:t>
            </w:r>
            <w:r w:rsidRPr="00564593">
              <w:rPr>
                <w:lang w:val="en-US"/>
              </w:rPr>
              <w:t xml:space="preserve">Anti/genotoxic, longevity inductive, cytotoxic, and clastogenic-related bioactivities of tomato and lycopene. </w:t>
            </w:r>
            <w:r w:rsidRPr="00564593">
              <w:t>Environmental And Molecular Mutagenesis. 59 - 5, pp. 427 - 437. 2018. ISSN 0893-6692</w:t>
            </w:r>
          </w:p>
          <w:p w14:paraId="21570841" w14:textId="5540B250" w:rsidR="004C38CE" w:rsidRPr="00564593" w:rsidRDefault="004C38CE" w:rsidP="004C38CE">
            <w:pPr>
              <w:pStyle w:val="Textoindependiente"/>
              <w:spacing w:before="129"/>
              <w:ind w:left="794"/>
            </w:pPr>
            <w:r w:rsidRPr="00564593">
              <w:t xml:space="preserve">MARIA TANIA MERINAS AMO; INMACULADA TASSET CUEVAS; Diaz-carretero, Antonio; ANGELES ALONSO MORAGA; FERNANDO CALAHORRO NUÑEZ. </w:t>
            </w:r>
            <w:r w:rsidRPr="00564593">
              <w:rPr>
                <w:lang w:val="en-US"/>
              </w:rPr>
              <w:t xml:space="preserve">Role of choline in the modulation of degenerative processes: In vivo and in vitro studies. Journal of Medicinal Food. 20 - 3, pp. 223 - 234. 2017. </w:t>
            </w:r>
            <w:r w:rsidRPr="00564593">
              <w:t>ISSN 1557-7600</w:t>
            </w:r>
          </w:p>
          <w:p w14:paraId="15F8BC03" w14:textId="002BDEC2" w:rsidR="004C38CE" w:rsidRPr="00564593" w:rsidRDefault="004C38CE" w:rsidP="004C38CE">
            <w:pPr>
              <w:pStyle w:val="Textoindependiente"/>
              <w:spacing w:before="129"/>
              <w:ind w:left="794"/>
            </w:pPr>
            <w:r w:rsidRPr="00564593">
              <w:t xml:space="preserve">DAMIÁN MARTÍNEZ VALDIVIESO; RAFAEL FONT VILLA; Zahira Fernández Bedmar; MARIA TANIA MERINAS AMO; PEDRO GOMEZ JIMENEZ DE CISNEROS; ANGELES ALONSO MORAGA; MERCEDES DEL RIO CELESTINO. </w:t>
            </w:r>
            <w:r w:rsidRPr="00564593">
              <w:rPr>
                <w:lang w:val="en-US"/>
              </w:rPr>
              <w:t xml:space="preserve">Role of Zucchini and its distinctive components in the modulation of degenerative processes: Genotoxicity, anti-genotoxicity, cytotoxicity and apoptotic effects. </w:t>
            </w:r>
            <w:r w:rsidRPr="00564593">
              <w:t>Nutrients. 9 - 7, pp. 755 - -. 2017. ISSN 2072-6643</w:t>
            </w:r>
          </w:p>
          <w:p w14:paraId="6250B978" w14:textId="0BFDDF84" w:rsidR="004C38CE" w:rsidRPr="00564593" w:rsidRDefault="004C38CE" w:rsidP="004C38CE">
            <w:pPr>
              <w:pStyle w:val="Textoindependiente"/>
              <w:spacing w:before="129"/>
              <w:ind w:left="794"/>
            </w:pPr>
            <w:r w:rsidRPr="00564593">
              <w:t xml:space="preserve">Zahira Fernández Bedmar; JAOUAD ANTER; ANGELES ALONSO MORAGA; JUANA MARTIN DE LAS MULAS GLEZ-ALBO; MARIA YOLANDA MILLÁN RUIZ; SILVIA GUIL LUNA. </w:t>
            </w:r>
            <w:r w:rsidRPr="00564593">
              <w:rPr>
                <w:lang w:val="en-US"/>
              </w:rPr>
              <w:t xml:space="preserve">Demethylating and anti-hepatocarcinogenic potential of hesperidin, a natural polyphenol of Citrus juices. </w:t>
            </w:r>
            <w:r w:rsidRPr="00564593">
              <w:t xml:space="preserve">Molecular Carcinogenesis. 56 - 6, pp. 1653 - 1662. 2017. ISSN 1098-2744 </w:t>
            </w:r>
          </w:p>
          <w:p w14:paraId="5EAD9EE7" w14:textId="3B3261F9" w:rsidR="004C38CE" w:rsidRPr="00564593" w:rsidRDefault="004C38CE" w:rsidP="004C38CE">
            <w:pPr>
              <w:pStyle w:val="Textoindependiente"/>
              <w:spacing w:before="129"/>
              <w:ind w:left="794"/>
            </w:pPr>
            <w:r w:rsidRPr="00564593">
              <w:t xml:space="preserve">MARIA TANIA MERINAS AMO; Carmen María Bellido Pedraza; García-zorrilla, Victoria; Velasco-ruíz, Alejandro; Merinas-amo, Rocío; Chladek, Ladislav; TERESA PINEDA RODRIGUEZ; RAFAEL FONT VILLA; MERCEDES DEL RIO CELESTINO; Kokoska, Ladislav; ANGELES ALONSO MORAGA; Zahira Fernández Bedmar. </w:t>
            </w:r>
            <w:r w:rsidRPr="00564593">
              <w:rPr>
                <w:lang w:val="en-US"/>
              </w:rPr>
              <w:t xml:space="preserve">Suitability of in vivo and in vitro models for assessing on the safety of natural and industrial products. Toxicology Letters. 280 - 1, pp. S216 - S216. 2017. </w:t>
            </w:r>
            <w:r w:rsidRPr="00564593">
              <w:t>ISSN 0378-4274</w:t>
            </w:r>
          </w:p>
          <w:p w14:paraId="71A4D21A" w14:textId="55E00996" w:rsidR="00564593" w:rsidRPr="00564593" w:rsidRDefault="00564593" w:rsidP="00564593">
            <w:pPr>
              <w:pStyle w:val="Textoindependiente"/>
              <w:spacing w:before="129"/>
              <w:ind w:left="794"/>
            </w:pPr>
            <w:r w:rsidRPr="00564593">
              <w:t xml:space="preserve">MARIA DE LOS DOLORES LOZANO BAENA; INMACULADA TASSET CUEVAS; </w:t>
            </w:r>
            <w:r w:rsidRPr="00564593">
              <w:lastRenderedPageBreak/>
              <w:t xml:space="preserve">ANDRÉS MUÑOZ SERRANO; ANGELES ALONSO MORAGA; ANTONIO DE HARO BAILÓN. </w:t>
            </w:r>
            <w:r w:rsidRPr="00564593">
              <w:rPr>
                <w:lang w:val="en-US"/>
              </w:rPr>
              <w:t xml:space="preserve">Cancer prevention and health benefices of traditionally consumed Borago officinalis plants. </w:t>
            </w:r>
            <w:r w:rsidRPr="00564593">
              <w:t>Nutrients. 8 - 1, pp. 48. 2016.. ISSN 2072-6643</w:t>
            </w:r>
          </w:p>
          <w:p w14:paraId="5B1D2083" w14:textId="7298C896" w:rsidR="00564593" w:rsidRPr="00564593" w:rsidRDefault="00564593" w:rsidP="00564593">
            <w:pPr>
              <w:pStyle w:val="Textoindependiente"/>
              <w:spacing w:before="129"/>
              <w:ind w:left="794"/>
            </w:pPr>
            <w:r w:rsidRPr="00564593">
              <w:t xml:space="preserve">MARIA TANIA MERINAS AMO; INMACULADA TASSET CUEVAS; Díaz-carretero, Antonio M; ANGELES ALONSO MORAGA; FERNANDO CALAHORRO NUÑEZ. </w:t>
            </w:r>
            <w:r w:rsidRPr="00564593">
              <w:rPr>
                <w:lang w:val="en-US"/>
              </w:rPr>
              <w:t xml:space="preserve">In vivo and in vitro studies of the role of lyophilised blond Lager beer and some bioactive components in the modulation of degenerative processes. Journal of Functional Foods. 27 - -, pp. 274 - 294. </w:t>
            </w:r>
            <w:r w:rsidRPr="00564593">
              <w:t>2016</w:t>
            </w:r>
            <w:r w:rsidRPr="00564593">
              <w:t xml:space="preserve">. </w:t>
            </w:r>
            <w:r w:rsidRPr="00564593">
              <w:t>ISSN 2214-9414</w:t>
            </w:r>
          </w:p>
          <w:p w14:paraId="4CD9FAC6" w14:textId="2BE0DB41" w:rsidR="00564593" w:rsidRPr="00564593" w:rsidRDefault="00564593" w:rsidP="00564593">
            <w:pPr>
              <w:pStyle w:val="Textoindependiente"/>
              <w:spacing w:before="129"/>
              <w:ind w:left="794"/>
            </w:pPr>
            <w:r w:rsidRPr="00564593">
              <w:t xml:space="preserve">MARCOS MATEO FERNÁNDEZ; MARIA TANIA MERINAS AMO; MIGUEL MORENO MILLÁN; ANGELES ALONSO MORAGA; Sebastián Demyda Peyrás. </w:t>
            </w:r>
            <w:r w:rsidRPr="00564593">
              <w:rPr>
                <w:lang w:val="en-US"/>
              </w:rPr>
              <w:t xml:space="preserve">In vivo and in vitro genotoxic and epigenetic effects of two types of cola beverages and caffeine: A multiassay approach. </w:t>
            </w:r>
            <w:r w:rsidRPr="00564593">
              <w:t>BioMed Research International. 2016 - -, pp. 1 - 15. 2016. ISSN 2314-6133</w:t>
            </w:r>
          </w:p>
          <w:p w14:paraId="66EF69AD" w14:textId="6AFB5F26" w:rsidR="005034FB" w:rsidRPr="00564593" w:rsidRDefault="00564593" w:rsidP="00564593">
            <w:pPr>
              <w:pStyle w:val="Textoindependiente"/>
              <w:spacing w:before="129"/>
              <w:ind w:left="794"/>
              <w:rPr>
                <w:lang w:val="en-US"/>
              </w:rPr>
            </w:pPr>
            <w:r w:rsidRPr="00564593">
              <w:t xml:space="preserve">Zahira Fernández Bedmar; ANGELES ALONSO MORAGA. </w:t>
            </w:r>
            <w:r w:rsidRPr="00564593">
              <w:rPr>
                <w:lang w:val="en-US"/>
              </w:rPr>
              <w:t>In vivo and in vitro evaluation for nutraceutical purposes of capsaicin, capsanthin, lutein and four pepper varieties. Food and Chemical Toxicology. 98 - 8, pp. 89 -99. 2016. ISSN 0278-6915</w:t>
            </w:r>
          </w:p>
        </w:tc>
      </w:tr>
      <w:tr w:rsidR="00564593" w:rsidRPr="00564593" w14:paraId="49126F96" w14:textId="77777777" w:rsidTr="00CA22ED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564593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593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564593" w:rsidRPr="00564593" w14:paraId="01887CEB" w14:textId="77777777" w:rsidTr="00CA22ED">
        <w:trPr>
          <w:trHeight w:val="696"/>
        </w:trPr>
        <w:tc>
          <w:tcPr>
            <w:tcW w:w="9486" w:type="dxa"/>
            <w:vAlign w:val="center"/>
          </w:tcPr>
          <w:p w14:paraId="634FA562" w14:textId="77777777" w:rsidR="00CA4995" w:rsidRPr="00564593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A3423" w14:textId="77777777" w:rsidR="00CA22ED" w:rsidRPr="00564593" w:rsidRDefault="00CA22ED" w:rsidP="00CA22ED">
      <w:pPr>
        <w:pStyle w:val="Textoindependiente"/>
        <w:ind w:right="130"/>
        <w:jc w:val="both"/>
      </w:pPr>
    </w:p>
    <w:sectPr w:rsidR="00CA22ED" w:rsidRPr="00564593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739Ef457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740Ef474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1B8"/>
    <w:multiLevelType w:val="multilevel"/>
    <w:tmpl w:val="AE5A5B80"/>
    <w:lvl w:ilvl="0">
      <w:start w:val="3"/>
      <w:numFmt w:val="upperLetter"/>
      <w:lvlText w:val="%1"/>
      <w:lvlJc w:val="left"/>
      <w:pPr>
        <w:ind w:left="603" w:hanging="46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03" w:hanging="46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348" w:hanging="46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22" w:hanging="46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96" w:hanging="46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70" w:hanging="46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44" w:hanging="46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18" w:hanging="46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92" w:hanging="464"/>
      </w:pPr>
      <w:rPr>
        <w:rFonts w:hint="default"/>
        <w:lang w:val="es-ES" w:eastAsia="es-ES" w:bidi="es-ES"/>
      </w:rPr>
    </w:lvl>
  </w:abstractNum>
  <w:abstractNum w:abstractNumId="1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52798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3E1A73"/>
    <w:rsid w:val="004263A0"/>
    <w:rsid w:val="004447AA"/>
    <w:rsid w:val="004775CF"/>
    <w:rsid w:val="0048254A"/>
    <w:rsid w:val="00482819"/>
    <w:rsid w:val="004B7AD3"/>
    <w:rsid w:val="004C38CE"/>
    <w:rsid w:val="004C4801"/>
    <w:rsid w:val="004D70C8"/>
    <w:rsid w:val="005034FB"/>
    <w:rsid w:val="00532F04"/>
    <w:rsid w:val="00540FA8"/>
    <w:rsid w:val="005504A5"/>
    <w:rsid w:val="00564593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47AA0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374"/>
    <w:rsid w:val="009C4960"/>
    <w:rsid w:val="009D1AF6"/>
    <w:rsid w:val="009D4542"/>
    <w:rsid w:val="009F21BF"/>
    <w:rsid w:val="00A0041B"/>
    <w:rsid w:val="00A02412"/>
    <w:rsid w:val="00A23773"/>
    <w:rsid w:val="00A2477B"/>
    <w:rsid w:val="00A30060"/>
    <w:rsid w:val="00A42B7F"/>
    <w:rsid w:val="00A56D5B"/>
    <w:rsid w:val="00A624B7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22ED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14A12"/>
    <w:rsid w:val="00E25D0D"/>
    <w:rsid w:val="00E67633"/>
    <w:rsid w:val="00E95AA5"/>
    <w:rsid w:val="00EA6C79"/>
    <w:rsid w:val="00F12C40"/>
    <w:rsid w:val="00F31B67"/>
    <w:rsid w:val="00F64873"/>
    <w:rsid w:val="00F856C7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CA22ED"/>
    <w:pPr>
      <w:widowControl w:val="0"/>
      <w:autoSpaceDE w:val="0"/>
      <w:autoSpaceDN w:val="0"/>
      <w:spacing w:after="0" w:line="240" w:lineRule="auto"/>
      <w:ind w:left="140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22ED"/>
    <w:rPr>
      <w:rFonts w:ascii="Arial" w:eastAsia="Arial" w:hAnsi="Arial" w:cs="Arial"/>
      <w:kern w:val="0"/>
      <w:sz w:val="22"/>
      <w:szCs w:val="22"/>
      <w:lang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66031365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0172367" TargetMode="External"/><Relationship Id="rId12" Type="http://schemas.openxmlformats.org/officeDocument/2006/relationships/hyperlink" Target="https://www.scopus.com/sourceid/21100898636?origin=results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003633400" TargetMode="External"/><Relationship Id="rId11" Type="http://schemas.openxmlformats.org/officeDocument/2006/relationships/hyperlink" Target="https://www.scopus.com/record/display.uri?eid=2-s2.0-85211806003&amp;origin=resultslis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copus.com/authid/detail.uri?authorId=18233270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32338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1968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HP</cp:lastModifiedBy>
  <cp:revision>8</cp:revision>
  <dcterms:created xsi:type="dcterms:W3CDTF">2025-04-04T15:36:00Z</dcterms:created>
  <dcterms:modified xsi:type="dcterms:W3CDTF">2025-05-11T19:17:00Z</dcterms:modified>
</cp:coreProperties>
</file>