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3CB2" w14:textId="0EA169EB" w:rsidR="00CA4995" w:rsidRPr="00187B02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187B02">
        <w:rPr>
          <w:b/>
          <w:bCs/>
          <w:sz w:val="36"/>
          <w:szCs w:val="36"/>
        </w:rPr>
        <w:t>Curso 2025/26</w:t>
      </w:r>
      <w:r w:rsidRPr="00187B02">
        <w:rPr>
          <w:b/>
          <w:bCs/>
          <w:sz w:val="36"/>
          <w:szCs w:val="36"/>
        </w:rPr>
        <w:tab/>
      </w:r>
      <w:r w:rsidR="00CA4995" w:rsidRPr="00187B02">
        <w:rPr>
          <w:b/>
          <w:bCs/>
          <w:noProof/>
          <w:sz w:val="36"/>
          <w:szCs w:val="36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4995" w:rsidRPr="00187B02">
        <w:rPr>
          <w:b/>
          <w:bCs/>
          <w:sz w:val="36"/>
          <w:szCs w:val="36"/>
        </w:rPr>
        <w:fldChar w:fldCharType="begin"/>
      </w:r>
      <w:r w:rsidR="00390F4C">
        <w:rPr>
          <w:b/>
          <w:bCs/>
          <w:sz w:val="36"/>
          <w:szCs w:val="36"/>
        </w:rPr>
        <w:instrText xml:space="preserve"> INCLUDEPICTURE "https://ucordoba-my.sharepoint.com/Users/guadalupe/Library/Group%20Containers/UBF8T346G9.ms/WebArchiveCopyPasteTempFiles/com.microsoft.Word/ALiytD7Bb97pIFpeWt3qIi1jaMLStYpDO0Kg4WEcfn+D5M9TCnNmNeMAAAAAElFTkSuQmCC" \* MERGEFORMAT </w:instrText>
      </w:r>
      <w:r w:rsidR="00CA4995" w:rsidRPr="00187B02">
        <w:rPr>
          <w:b/>
          <w:bCs/>
          <w:sz w:val="36"/>
          <w:szCs w:val="36"/>
        </w:rPr>
        <w:fldChar w:fldCharType="separate"/>
      </w:r>
      <w:r w:rsidR="00CA4995" w:rsidRPr="00187B02">
        <w:rPr>
          <w:b/>
          <w:bCs/>
          <w:sz w:val="36"/>
          <w:szCs w:val="36"/>
        </w:rPr>
        <w:fldChar w:fldCharType="end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CA4995" w:rsidRPr="00CA4995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CA4995" w:rsidRDefault="00CA4995" w:rsidP="00CA4995">
            <w:pPr>
              <w:pStyle w:val="Sinespaciado"/>
              <w:rPr>
                <w:b/>
                <w:bCs/>
              </w:rPr>
            </w:pPr>
            <w:r w:rsidRPr="00CA4995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1FDFDCC7" w:rsidR="00CA4995" w:rsidRPr="00CA4995" w:rsidRDefault="0047641E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David Gonzalez Ballester</w:t>
            </w:r>
          </w:p>
        </w:tc>
      </w:tr>
      <w:tr w:rsidR="00CA4995" w:rsidRPr="00CA4995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303B7187" w:rsidR="00CA4995" w:rsidRPr="00CA4995" w:rsidRDefault="0047641E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 Titular</w:t>
            </w:r>
          </w:p>
        </w:tc>
      </w:tr>
      <w:tr w:rsidR="00CA4995" w:rsidRPr="00CA4995" w14:paraId="79B94209" w14:textId="77777777" w:rsidTr="00CA4995">
        <w:trPr>
          <w:trHeight w:val="269"/>
        </w:trPr>
        <w:tc>
          <w:tcPr>
            <w:tcW w:w="2646" w:type="dxa"/>
            <w:vAlign w:val="center"/>
          </w:tcPr>
          <w:p w14:paraId="468B97CA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Cargo:</w:t>
            </w:r>
          </w:p>
        </w:tc>
        <w:tc>
          <w:tcPr>
            <w:tcW w:w="6840" w:type="dxa"/>
            <w:vAlign w:val="center"/>
          </w:tcPr>
          <w:p w14:paraId="744AEED4" w14:textId="349EC4B2" w:rsidR="00CA4995" w:rsidRPr="00CA4995" w:rsidRDefault="0047641E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 Titular</w:t>
            </w:r>
          </w:p>
        </w:tc>
      </w:tr>
      <w:tr w:rsidR="00CA4995" w:rsidRPr="00CA4995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6BFEF9A7" w:rsidR="00CA4995" w:rsidRPr="00CA4995" w:rsidRDefault="0047641E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Bioquímica y Biología Molecular</w:t>
            </w:r>
          </w:p>
        </w:tc>
      </w:tr>
      <w:tr w:rsidR="00CA4995" w:rsidRPr="00CA4995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71D4C325" w:rsidR="00CA4995" w:rsidRPr="00CA4995" w:rsidRDefault="0047641E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Bioquímica y Biología Molecular</w:t>
            </w:r>
          </w:p>
        </w:tc>
      </w:tr>
      <w:tr w:rsidR="00CA4995" w:rsidRPr="00CA4995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1ED005C5" w:rsidR="00CA4995" w:rsidRPr="00CA4995" w:rsidRDefault="0047641E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957218352</w:t>
            </w:r>
          </w:p>
        </w:tc>
      </w:tr>
      <w:tr w:rsidR="00CA4995" w:rsidRPr="00CA4995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20E0D238" w:rsidR="00CA4995" w:rsidRPr="00CA4995" w:rsidRDefault="0047641E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dgballester@uco.es</w:t>
            </w:r>
          </w:p>
        </w:tc>
      </w:tr>
      <w:tr w:rsidR="00CA4995" w:rsidRPr="00CA4995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7A31EE32" w:rsidR="00CA4995" w:rsidRPr="00CA4995" w:rsidRDefault="007461BA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 w:rsidRPr="007461BA">
              <w:rPr>
                <w:rFonts w:cs="Arial"/>
                <w:sz w:val="20"/>
                <w:szCs w:val="20"/>
              </w:rPr>
              <w:t>0000-0003-0024-1886</w:t>
            </w:r>
          </w:p>
        </w:tc>
      </w:tr>
      <w:tr w:rsidR="0048254A" w:rsidRPr="00CA4995" w14:paraId="16E8E735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2496338A" w14:textId="5043C258" w:rsidR="0048254A" w:rsidRPr="00CA4995" w:rsidRDefault="0048254A" w:rsidP="0048254A">
            <w:pPr>
              <w:pStyle w:val="Sinespaciado"/>
              <w:rPr>
                <w:b/>
                <w:bCs/>
                <w:noProof/>
                <w:lang w:eastAsia="es-ES"/>
              </w:rPr>
            </w:pPr>
            <w:r>
              <w:rPr>
                <w:b/>
                <w:bCs/>
                <w:noProof/>
                <w:lang w:eastAsia="es-ES"/>
              </w:rPr>
              <w:t>Página web</w:t>
            </w:r>
            <w:r w:rsidRPr="00CA4995">
              <w:rPr>
                <w:b/>
                <w:bCs/>
                <w:noProof/>
                <w:lang w:eastAsia="es-ES"/>
              </w:rPr>
              <w:t>:</w:t>
            </w:r>
          </w:p>
        </w:tc>
        <w:tc>
          <w:tcPr>
            <w:tcW w:w="6840" w:type="dxa"/>
          </w:tcPr>
          <w:p w14:paraId="3143F3B3" w14:textId="640E5805" w:rsidR="0048254A" w:rsidRPr="00CA4995" w:rsidRDefault="002E6485" w:rsidP="0048254A">
            <w:pPr>
              <w:pStyle w:val="Sinespaciado"/>
              <w:rPr>
                <w:rFonts w:cs="Arial"/>
                <w:sz w:val="20"/>
                <w:szCs w:val="20"/>
              </w:rPr>
            </w:pPr>
            <w:r w:rsidRPr="002E6485">
              <w:rPr>
                <w:rFonts w:cs="Arial"/>
                <w:sz w:val="20"/>
                <w:szCs w:val="20"/>
              </w:rPr>
              <w:t>https://algaefamlab.wixsite.com/algaefamlab</w:t>
            </w:r>
          </w:p>
        </w:tc>
      </w:tr>
    </w:tbl>
    <w:p w14:paraId="18A9C54F" w14:textId="40A9DE3C" w:rsidR="00CA4995" w:rsidRDefault="00CA499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A4995" w:rsidRPr="00F5501C" w14:paraId="1198D971" w14:textId="77777777" w:rsidTr="00CA4995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Líneas de Investigación</w:t>
            </w:r>
          </w:p>
        </w:tc>
      </w:tr>
      <w:tr w:rsidR="00CA4995" w:rsidRPr="00F5501C" w14:paraId="3622C84C" w14:textId="77777777" w:rsidTr="00CA4995">
        <w:trPr>
          <w:trHeight w:val="603"/>
        </w:trPr>
        <w:tc>
          <w:tcPr>
            <w:tcW w:w="9486" w:type="dxa"/>
            <w:vAlign w:val="center"/>
          </w:tcPr>
          <w:p w14:paraId="27E5CE29" w14:textId="1ABBCEC1" w:rsidR="002E6485" w:rsidRPr="00726E9A" w:rsidRDefault="002E6485" w:rsidP="00CA4995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Producción de biohidrógeno</w:t>
            </w:r>
            <w:r w:rsidR="006B72C8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 y biorremediación con</w:t>
            </w: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 microalgas</w:t>
            </w:r>
          </w:p>
        </w:tc>
      </w:tr>
      <w:tr w:rsidR="00CA4995" w:rsidRPr="00F5501C" w14:paraId="70D7B6A1" w14:textId="77777777" w:rsidTr="00CA4995">
        <w:trPr>
          <w:trHeight w:val="276"/>
        </w:trPr>
        <w:tc>
          <w:tcPr>
            <w:tcW w:w="9486" w:type="dxa"/>
            <w:vAlign w:val="center"/>
          </w:tcPr>
          <w:p w14:paraId="6F6AD76F" w14:textId="18CEC081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Proyectos</w:t>
            </w: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 xml:space="preserve"> de Investigación</w:t>
            </w:r>
          </w:p>
        </w:tc>
      </w:tr>
      <w:tr w:rsidR="00CA4995" w:rsidRPr="00B32735" w14:paraId="1997467F" w14:textId="77777777" w:rsidTr="00CA4995">
        <w:trPr>
          <w:trHeight w:val="612"/>
        </w:trPr>
        <w:tc>
          <w:tcPr>
            <w:tcW w:w="9486" w:type="dxa"/>
            <w:vAlign w:val="center"/>
          </w:tcPr>
          <w:p w14:paraId="2CDCE332" w14:textId="2A15CFF7" w:rsidR="00CA4995" w:rsidRPr="00E05BF9" w:rsidRDefault="00B32735" w:rsidP="00F56472">
            <w:pPr>
              <w:rPr>
                <w:rFonts w:ascii="Arial" w:hAnsi="Arial" w:cs="Arial"/>
                <w:sz w:val="20"/>
                <w:szCs w:val="20"/>
                <w:lang w:val="es-ES" w:eastAsia="ja-JP"/>
              </w:rPr>
            </w:pPr>
            <w:r w:rsidRPr="00E05BF9"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  <w:t xml:space="preserve">Algae-Bacteria </w:t>
            </w:r>
            <w:proofErr w:type="gramStart"/>
            <w:r w:rsidRPr="00E05BF9"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  <w:t>To</w:t>
            </w:r>
            <w:proofErr w:type="gramEnd"/>
            <w:r w:rsidRPr="00E05BF9"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  <w:t xml:space="preserve"> Get Green H2 Energy Responses (TOGETH2ER)</w:t>
            </w:r>
            <w:r w:rsidRPr="00E05BF9"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  <w:t xml:space="preserve">. </w:t>
            </w:r>
            <w:r w:rsidR="002A305B" w:rsidRPr="00E05BF9">
              <w:rPr>
                <w:rFonts w:ascii="Arial" w:hAnsi="Arial" w:cs="Arial"/>
                <w:sz w:val="20"/>
                <w:szCs w:val="20"/>
                <w:lang w:eastAsia="ja-JP"/>
              </w:rPr>
              <w:t xml:space="preserve">MICINN-Plan Estatal 2021-2023 De </w:t>
            </w:r>
            <w:proofErr w:type="spellStart"/>
            <w:r w:rsidR="002A305B" w:rsidRPr="00E05BF9">
              <w:rPr>
                <w:rFonts w:ascii="Arial" w:hAnsi="Arial" w:cs="Arial"/>
                <w:sz w:val="20"/>
                <w:szCs w:val="20"/>
                <w:lang w:eastAsia="ja-JP"/>
              </w:rPr>
              <w:t>Investigacion</w:t>
            </w:r>
            <w:proofErr w:type="spellEnd"/>
            <w:r w:rsidR="002A305B" w:rsidRPr="00E05BF9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2A305B" w:rsidRPr="00E05BF9">
              <w:rPr>
                <w:rFonts w:ascii="Arial" w:hAnsi="Arial" w:cs="Arial"/>
                <w:sz w:val="20"/>
                <w:szCs w:val="20"/>
                <w:lang w:eastAsia="ja-JP"/>
              </w:rPr>
              <w:t>Cientifica</w:t>
            </w:r>
            <w:proofErr w:type="spellEnd"/>
            <w:r w:rsidR="002A305B" w:rsidRPr="00E05BF9">
              <w:rPr>
                <w:rFonts w:ascii="Arial" w:hAnsi="Arial" w:cs="Arial"/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="002A305B" w:rsidRPr="00E05BF9">
              <w:rPr>
                <w:rFonts w:ascii="Arial" w:hAnsi="Arial" w:cs="Arial"/>
                <w:sz w:val="20"/>
                <w:szCs w:val="20"/>
                <w:lang w:eastAsia="ja-JP"/>
              </w:rPr>
              <w:t>Tecnica</w:t>
            </w:r>
            <w:proofErr w:type="spellEnd"/>
            <w:r w:rsidR="002A305B" w:rsidRPr="00E05BF9">
              <w:rPr>
                <w:rFonts w:ascii="Arial" w:hAnsi="Arial" w:cs="Arial"/>
                <w:sz w:val="20"/>
                <w:szCs w:val="20"/>
                <w:lang w:eastAsia="ja-JP"/>
              </w:rPr>
              <w:t xml:space="preserve"> Y De </w:t>
            </w:r>
            <w:proofErr w:type="spellStart"/>
            <w:r w:rsidR="002A305B" w:rsidRPr="00E05BF9">
              <w:rPr>
                <w:rFonts w:ascii="Arial" w:hAnsi="Arial" w:cs="Arial"/>
                <w:sz w:val="20"/>
                <w:szCs w:val="20"/>
                <w:lang w:eastAsia="ja-JP"/>
              </w:rPr>
              <w:t>Innovacion</w:t>
            </w:r>
            <w:proofErr w:type="spellEnd"/>
            <w:r w:rsidR="002A305B" w:rsidRPr="00E05BF9">
              <w:rPr>
                <w:rFonts w:ascii="Arial" w:hAnsi="Arial" w:cs="Arial"/>
                <w:sz w:val="20"/>
                <w:szCs w:val="20"/>
                <w:lang w:eastAsia="ja-JP"/>
              </w:rPr>
              <w:t>. Proyectos estratégicos orientados a transición ecológica y digital</w:t>
            </w:r>
            <w:r w:rsidRPr="00E05BF9">
              <w:rPr>
                <w:rFonts w:ascii="Arial" w:hAnsi="Arial" w:cs="Arial"/>
                <w:sz w:val="20"/>
                <w:szCs w:val="20"/>
                <w:lang w:eastAsia="ja-JP"/>
              </w:rPr>
              <w:t xml:space="preserve">. </w:t>
            </w:r>
            <w:r w:rsidR="002A305B" w:rsidRPr="00E05BF9">
              <w:rPr>
                <w:rFonts w:ascii="Arial" w:hAnsi="Arial" w:cs="Arial"/>
                <w:sz w:val="20"/>
                <w:szCs w:val="20"/>
                <w:lang w:val="es-ES" w:eastAsia="ja-JP"/>
              </w:rPr>
              <w:t>TED2021-130438B-I00</w:t>
            </w:r>
            <w:r w:rsidR="00271AA9" w:rsidRPr="00E05BF9">
              <w:rPr>
                <w:rFonts w:ascii="Arial" w:hAnsi="Arial" w:cs="Arial"/>
                <w:sz w:val="20"/>
                <w:szCs w:val="20"/>
                <w:lang w:val="es-ES" w:eastAsia="ja-JP"/>
              </w:rPr>
              <w:t>. 2023-2025</w:t>
            </w:r>
          </w:p>
          <w:p w14:paraId="08CB7D8C" w14:textId="1A02C76E" w:rsidR="00F56472" w:rsidRPr="00E05BF9" w:rsidRDefault="00F56472" w:rsidP="00F56472">
            <w:pPr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r w:rsidRPr="00E05BF9"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  <w:t>Microalgal bioremediation of farming residues and valorization of the algal biomass</w:t>
            </w:r>
            <w:r w:rsidRPr="00E05BF9">
              <w:rPr>
                <w:rFonts w:ascii="Arial" w:hAnsi="Arial" w:cs="Arial"/>
                <w:sz w:val="20"/>
                <w:szCs w:val="20"/>
                <w:lang w:val="en-US" w:eastAsia="ja-JP"/>
              </w:rPr>
              <w:t xml:space="preserve">. </w:t>
            </w:r>
            <w:r w:rsidRPr="00E05BF9">
              <w:rPr>
                <w:rFonts w:ascii="Arial" w:hAnsi="Arial" w:cs="Arial"/>
                <w:sz w:val="20"/>
                <w:szCs w:val="20"/>
                <w:lang w:val="es-ES" w:eastAsia="ja-JP"/>
              </w:rPr>
              <w:t>Ministerio de Ciencia e Innovación</w:t>
            </w:r>
            <w:r w:rsidRPr="00E05BF9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. </w:t>
            </w:r>
            <w:r w:rsidRPr="00E05BF9">
              <w:rPr>
                <w:rFonts w:ascii="Arial" w:hAnsi="Arial" w:cs="Arial"/>
                <w:sz w:val="20"/>
                <w:szCs w:val="20"/>
                <w:lang w:val="en-US" w:eastAsia="ja-JP"/>
              </w:rPr>
              <w:t>PID2019-105936RB-C22</w:t>
            </w:r>
            <w:r w:rsidRPr="00E05BF9">
              <w:rPr>
                <w:rFonts w:ascii="Arial" w:hAnsi="Arial" w:cs="Arial"/>
                <w:sz w:val="20"/>
                <w:szCs w:val="20"/>
                <w:lang w:val="en-US" w:eastAsia="ja-JP"/>
              </w:rPr>
              <w:t>. 2020-2024</w:t>
            </w:r>
          </w:p>
          <w:p w14:paraId="6234AB2A" w14:textId="126B41A7" w:rsidR="00985402" w:rsidRPr="00E05BF9" w:rsidRDefault="00985402" w:rsidP="00E05BF9">
            <w:pPr>
              <w:rPr>
                <w:rFonts w:ascii="Arial" w:hAnsi="Arial" w:cs="Arial"/>
                <w:sz w:val="20"/>
                <w:szCs w:val="20"/>
                <w:lang w:val="es-ES" w:eastAsia="ja-JP"/>
              </w:rPr>
            </w:pPr>
            <w:r w:rsidRPr="00E05BF9">
              <w:rPr>
                <w:rFonts w:ascii="Arial" w:hAnsi="Arial" w:cs="Arial"/>
                <w:b/>
                <w:bCs/>
                <w:sz w:val="20"/>
                <w:szCs w:val="20"/>
                <w:lang w:val="es-ES" w:eastAsia="ja-JP"/>
              </w:rPr>
              <w:t>Producción de hidrógeno y otros biocombustibles en microalgas: metabolismo de foto-asimilación de acetato en hipoxia</w:t>
            </w:r>
            <w:r w:rsidRPr="00E05BF9">
              <w:rPr>
                <w:rFonts w:ascii="Arial" w:hAnsi="Arial" w:cs="Arial"/>
                <w:b/>
                <w:bCs/>
                <w:sz w:val="20"/>
                <w:szCs w:val="20"/>
                <w:lang w:val="es-ES" w:eastAsia="ja-JP"/>
              </w:rPr>
              <w:t xml:space="preserve">. </w:t>
            </w:r>
            <w:r w:rsidRPr="00E05BF9">
              <w:rPr>
                <w:rFonts w:ascii="Arial" w:hAnsi="Arial" w:cs="Arial"/>
                <w:sz w:val="20"/>
                <w:szCs w:val="20"/>
                <w:lang w:val="es-ES" w:eastAsia="ja-JP"/>
              </w:rPr>
              <w:t>Fondos FEDER-Universidad de Córdoba</w:t>
            </w:r>
            <w:r w:rsidR="00271AA9" w:rsidRPr="00E05BF9">
              <w:rPr>
                <w:rFonts w:ascii="Arial" w:hAnsi="Arial" w:cs="Arial"/>
                <w:sz w:val="20"/>
                <w:szCs w:val="20"/>
                <w:lang w:val="es-ES" w:eastAsia="ja-JP"/>
              </w:rPr>
              <w:t xml:space="preserve">. </w:t>
            </w:r>
            <w:r w:rsidRPr="00E05BF9">
              <w:rPr>
                <w:rFonts w:ascii="Arial" w:hAnsi="Arial" w:cs="Arial"/>
                <w:sz w:val="20"/>
                <w:szCs w:val="20"/>
                <w:lang w:val="es-ES" w:eastAsia="ja-JP"/>
              </w:rPr>
              <w:t>1381175-F</w:t>
            </w:r>
            <w:r w:rsidR="00271AA9" w:rsidRPr="00E05BF9">
              <w:rPr>
                <w:rFonts w:ascii="Arial" w:hAnsi="Arial" w:cs="Arial"/>
                <w:sz w:val="20"/>
                <w:szCs w:val="20"/>
                <w:lang w:val="es-ES" w:eastAsia="ja-JP"/>
              </w:rPr>
              <w:t>. 2022</w:t>
            </w:r>
          </w:p>
        </w:tc>
      </w:tr>
      <w:tr w:rsidR="00CA4995" w:rsidRPr="00F5501C" w14:paraId="2F53B601" w14:textId="77777777" w:rsidTr="00CA4995">
        <w:trPr>
          <w:trHeight w:val="239"/>
        </w:trPr>
        <w:tc>
          <w:tcPr>
            <w:tcW w:w="9486" w:type="dxa"/>
            <w:vAlign w:val="center"/>
          </w:tcPr>
          <w:p w14:paraId="5B78409D" w14:textId="3F2B2E7F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Publicaciones</w:t>
            </w:r>
          </w:p>
        </w:tc>
      </w:tr>
      <w:tr w:rsidR="00CA4995" w:rsidRPr="0073321A" w14:paraId="09B5FC1A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3E3C733B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2024. Microalgae for bioremediation: advances, challenges, and public perception on genetic engineering.  Calatrava V., Gonzalez-Ballester D.,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Dubini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A.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BMC Plant Biology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, 24 (1), art. no. 1261. DOI: 10.1186/s12870-024-05995-5</w:t>
            </w:r>
          </w:p>
          <w:p w14:paraId="301D792C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2024. Chlamydomonas reinhardtii and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Microbacterium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forte sp.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nov.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, a mutualistic association that favors sustainable hydrogen production.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Fakhimi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N., Torres M.J., Fernández E., Galván A.,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Dubini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A., González-Ballester D.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Science of the Total Environment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, 913, art. no. 169559. DOI: 10.1016/j.scitotenv.2023.169559</w:t>
            </w:r>
          </w:p>
          <w:p w14:paraId="75BE658C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2023. Stenotrophomonas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goyi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sp.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nov.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, a novel bacterium associated with the alga Chlamydomonas reinhardtii. Torres M.J.,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Fakhimi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Dubini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A., González-Ballester D.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F1000Research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, 12, art. no. 1373. DOI: 10.12688/f1000research.134978.3</w:t>
            </w:r>
          </w:p>
          <w:p w14:paraId="244AA086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2022. Chlamydomonas-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Methylobacterium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oryzae cooperation leads to increased biomass, nitrogen removal and hydrogen production. Torres M.J., González-Ballester D., Gómez-Osuna A., Galván A., Fernández E.,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Dubini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A.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Bioresource Technology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, 352, art. no. 127088. DOI: 10.1016/j.biortech.2022.127088</w:t>
            </w:r>
          </w:p>
          <w:p w14:paraId="5DFD0779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2020. Algae-bacteria consortia as a strategy to enhance h2 production.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Fakhimi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N., Gonzalez-Ballester D., Fernández E., Galván A.,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Dubini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A.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Cells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, 9 (6), art. no. 1353. DOI: 10.3390/cells9061353</w:t>
            </w:r>
          </w:p>
          <w:p w14:paraId="4F14A225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2019. Ferredoxin5 deletion affects metabolism of algae during the different phases of sulfur deprivation. Subramanian V., Wecker M.S.A., Gerritsen A., Boehm M., Xiong W., Wachter B.,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Dubini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A., González-Ballester D., Antonio R.V., Ghirardi M.L.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Plant Physiology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, 181 (2), pp. 426 – 441. DOI: 10.1104/</w:t>
            </w:r>
            <w:proofErr w:type="gram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pp</w:t>
            </w:r>
            <w:proofErr w:type="gram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.19.00457</w:t>
            </w:r>
          </w:p>
          <w:p w14:paraId="659D4293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2019. Acetic acid is key for synergetic hydrogen production in Chlamydomonas-bacteria co-cultures.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Fakhimi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Dubini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A., Tavakoli O., González-Ballester D.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Bioresource Technology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, 289, art. no. 121648. DOI: 10.1016/j.biortech.2019.121648. </w:t>
            </w:r>
          </w:p>
          <w:p w14:paraId="5D0FF923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2019. Acetic acid uptake rate controls H2 production in Chlamydomonas-bacteria co-cultures.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Fakhimi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N., Tavakoli O., Marashi S.-A., Moghimi H.,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Mehrnia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M.R.,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Dubini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A., González-Ballester D.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Algal Research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, 42, art. no. 101605. DOI: 10.1016/j.algal.2019.101605</w:t>
            </w:r>
          </w:p>
          <w:p w14:paraId="48D59798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2018. Arginine is a component of the ammonium-CYG56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signalling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cascade that represses genes of the nitrogen assimilation pathway in Chlamydomonas reinhardtii. </w:t>
            </w:r>
            <w:r w:rsidRPr="00347EA9">
              <w:rPr>
                <w:rFonts w:ascii="Arial" w:hAnsi="Arial" w:cs="Arial"/>
                <w:sz w:val="20"/>
                <w:szCs w:val="20"/>
                <w:lang w:val="es-ES"/>
              </w:rPr>
              <w:t xml:space="preserve">González-Ballester D., Sanz-Luque E., Galván A., Fernández E., de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s-ES"/>
              </w:rPr>
              <w:t>Montaigu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s-ES"/>
              </w:rPr>
              <w:t xml:space="preserve"> A. </w:t>
            </w:r>
            <w:proofErr w:type="spellStart"/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PLoS</w:t>
            </w:r>
            <w:proofErr w:type="spellEnd"/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ONE</w:t>
            </w:r>
            <w:r w:rsidRPr="00347EA9">
              <w:rPr>
                <w:rFonts w:ascii="Arial" w:hAnsi="Arial" w:cs="Arial"/>
                <w:sz w:val="20"/>
                <w:szCs w:val="20"/>
                <w:lang w:val="es-ES"/>
              </w:rPr>
              <w:t>, 13 (4), art. no. e0196167</w:t>
            </w:r>
            <w:r w:rsidRPr="00347EA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DOI: 10.1371/journal.pone.0196167</w:t>
            </w:r>
          </w:p>
          <w:p w14:paraId="452580EE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2018. Survey of the anaerobic metabolism of various laboratory wild-type Chlamydomonas reinhardtii strains. Ghirardi M.L., Subramanian V., Wecker M.S.A., Smolinski S., Antonio R.V., Xiong W., Gonzalez-Ballester D.,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Dubini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A.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Algal Research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, 35, pp. 355 – 361. DOI: 10.1016/j.algal.2018.05.002.</w:t>
            </w:r>
          </w:p>
          <w:p w14:paraId="4ACFF4B7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2017. H2 production pathways in nutrient-replete mixotrophic Chlamydomonas cultures under low light. González-Ballester D., Jurado-Oller J.L., Galván A., Fernández E.,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Dubini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A.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Biotechnology for Biofuels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, 10 (1), art. no. 117. DOI: 10.1186/s13068-017-0801-5</w:t>
            </w:r>
          </w:p>
          <w:p w14:paraId="26EBEA8C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2017. Glucose uptake in Prochlorococcus: Diversity of kinetics and effects on </w:t>
            </w:r>
            <w:proofErr w:type="gram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the metabolism</w:t>
            </w:r>
            <w:proofErr w:type="gram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. Muñoz-Marín M.C., Gómez-Baena G., Díez J., Beynon R.J., González-Ballester D., Zubkov M.V., García-Fernández J.M.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Frontiers in Microbiology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, 8 (MAR), art. no. 327. DOI: 10.3389/fmicb.2017.00327</w:t>
            </w:r>
          </w:p>
          <w:p w14:paraId="4391BD13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2016. Biohydrogen from Microalgae. Dubini A., Gonzalez-Ballester D.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Green Energy and Technology,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pp. 165 – 193. DOI: 10.1007/978-3-319-12334-9_10</w:t>
            </w:r>
          </w:p>
          <w:p w14:paraId="490F4EEE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2015. Low oxygen levels contribute to </w:t>
            </w:r>
            <w:proofErr w:type="gram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improve</w:t>
            </w:r>
            <w:proofErr w:type="gram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photohydrogen production in mixotrophic non-stressed Chlamydomonas cultures. Jurado-Oller J.L.,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Dubini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A., Galván A., Fernández E., González-Ballester D.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Biotechnology for Biofuels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, 8 (1), art. no. 149. DOI: 10.1186/s13068-015-0341-9</w:t>
            </w:r>
          </w:p>
          <w:p w14:paraId="6B53CFCF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2015. Relevance of nutrient media composition for hydrogen production in Chlamydomonas. Gonzalez-Ballester D., Jurado-Oller J.L., Fernandez E.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Photosynthesis Research,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125 (3), pp. 395 – 406. DOI: 10.1007/s11120-015-0152-7.</w:t>
            </w:r>
          </w:p>
          <w:p w14:paraId="09581FC1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2013. Tiered regulation of sulfur deprivation responses in Chlamydomonas reinhardtii and identification of an associated regulatory factor. Aksoy M.,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Pootakham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W., Pollock S.V., Moseley J.L., González-Ballester D., Grossman A.R.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Plant Physiology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, 162 (1), pp. 195 – 211. DOI: 10.1104/pp.113.214593</w:t>
            </w:r>
          </w:p>
          <w:p w14:paraId="14C6E3CA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2011. Reverse genetics in Chlamydomonas: A platform for isolating insertional mutants. Gonzalez-Ballester D.,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Pootakham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W., Mus F., Yang W.,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Catalanotti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C.,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Magneschi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L., De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Montaigu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A., Higuera J.J., Prior M., Galván A., Fernandez E., Grossman A.R.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Plant Methods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, 7 (1), art. no. 24. DOI: 10.1186/1746-4811-7-24</w:t>
            </w:r>
          </w:p>
          <w:p w14:paraId="2D1D8A76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2010. Responses to macronutrient deprivation. Grossman A.R., Gonzalez-Ballester D.,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Shibagaki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Pootakham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W., Moseley J.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Abiotic Stress Adaptation in Plants: Physiological, Molecular and Genomic Foundation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, pp. 307 – 348. DOI: 10.1007/978-90-481-3112-9_15.</w:t>
            </w:r>
          </w:p>
          <w:p w14:paraId="61558EAE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2010. RNA-Seq analysis of sulfur-deprived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chlamydomonas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cells reveals aspects of acclimation critical for cell survival. González-Ballester D., Casero D.,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Cokus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S., Pellegrini M., Merchant S.S., Grossman A.R.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Plant Cell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, 22 (6), pp. 2058 – 2084. DOI: 10.1105/tpc.109.071167</w:t>
            </w:r>
          </w:p>
          <w:p w14:paraId="2A4FA3CC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2010. Identification and regulation of plasma membrane sulfate transporters in Chlamydomonas.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Pootakham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W., Gonzalez-Ballester D., Grossman A.R.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Plant Physiology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, 153 (4), pp. 1653 – 1668. DOI: 10.1104/</w:t>
            </w:r>
            <w:proofErr w:type="gram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pp</w:t>
            </w:r>
            <w:proofErr w:type="gram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.110.157875</w:t>
            </w:r>
          </w:p>
          <w:p w14:paraId="4C4B82E1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2008. The central role of a SNRK2 kinase in sulfur deprivation responses. Gonzalez-Ballester D., Pollock S.V.,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Pootakham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W., Grossman A.R.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Plant Physiology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, 147 (1), pp. 216 – 227. DOI: 10.1104/pp.108.116137</w:t>
            </w:r>
          </w:p>
          <w:p w14:paraId="07E8CD4E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2009. Genetic interactions between regulators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chlamydomonas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phosphorus and sulfur deprivation responses. Moseley J.L., Gonzalez-Ballester D.,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Pootakham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W., Bailey S., Grossman A.R.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Genetics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, 181 (3), pp. 889 – 905. DOI: 10.1534/genetics.108.099382. </w:t>
            </w:r>
          </w:p>
          <w:p w14:paraId="0918DB77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2009. Sulfur: From Acquisition to Assimilation. Gonzalez-Ballester D., Grossman A.R.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The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Chlamydomonas Sourcebook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3-Vol set, 2, pp. 159 – 187. DOI: 10.1016/B978-0-12-370873-1.00013-7</w:t>
            </w:r>
          </w:p>
          <w:p w14:paraId="19A82B91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2007. The Chlamydomonas genome reveals the evolution of key animal and plant functions. Merchant S.S.,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Prochnik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S.E., Vallon O., Harris E.H., Karpowicz S.J., Witman G.B., Terry A., Salamov A., Fritz-Laylin L.K., Maréchal-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Drouard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L., Marshall W.F., Qu L.-H., Nelson D.R., Sanderfoot A.A., Spalding M.H.,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Kapitonov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V.V., Ren Q., Ferris P., Lindquist E., Shapiro H., Lucas S.M., Grimwood J., Schmutz J., Grigoriev I.V., Rokhsar D.S., Grossman A.R.,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Cardol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P., Cerutti H.,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Chanfreau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G., Chen C.-L.,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Cognat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V., Croft M.T., Dent R., Dutcher S., Fernández E., Fukuzawa H., González-Ballester D., et al.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Science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, 318 (5848), pp. 245 – 251. DOI: 10.1126/science.1143609</w:t>
            </w:r>
          </w:p>
          <w:p w14:paraId="639C0A27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2007. Chlamydomonas reinhardtii CNX1E reconstitutes molybdenum cofactor biosynthesis in Escherichia coli mutants. Llamas Á., Tejada-Jimenez M., González-Ballester D., Higuera J.J., Schwarz G., Galván A., Fernández E.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Eukaryotic Cell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, 6 (6), pp. 1063 – 1067. DOI: 10.1128/EC.00072-07.</w:t>
            </w:r>
          </w:p>
          <w:p w14:paraId="743E6803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2007. Nitrate signaling by the regulatory gene NIT2 in Chlamydomonas. Camargo A., Llamas Á., Schnell R.A., Higuera J.J., González-Ballester D., Lefebvre P.A., Fernández E., Galván A.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Plant Cell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, 19 (11), pp. 3491 – 3503. DOI: 10.1105/tpc.106.045922. </w:t>
            </w:r>
          </w:p>
          <w:p w14:paraId="19291FDF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2007. Insertional mutagenesis as a tool to study genes/functions in Chlamydomonas. Galván A., González-Ballester D., Fernández E.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Advances in Experimental Medicine and Biology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, 616, pp. 77 – 89. DOI: 10.1007/978-0-387-75532-8_7</w:t>
            </w:r>
          </w:p>
          <w:p w14:paraId="59B86D53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2006. The green alga Chlamydomonas as a tool to study the nitrate assimilation pathway in plants. Galván A., Mariscal V., González-Ballester D., Fernández E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 Model Plants and Crop Improvement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, pp. 125 – 158. DOI: 10.1201/9780849330636. </w:t>
            </w:r>
          </w:p>
          <w:p w14:paraId="1346F5A7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2005. Functional genomics of the regulation of the nitrate assimilation pathway in Chlamydomonas. González-Ballester D., De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Montaigu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A., Higuera J.J., Galván A., Fernández E.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Plant Physiology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, 137 (2), pp. 522 – 533. DOI: 10.1104/</w:t>
            </w:r>
            <w:proofErr w:type="gram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pp</w:t>
            </w:r>
            <w:proofErr w:type="gram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.104.050914</w:t>
            </w:r>
          </w:p>
          <w:p w14:paraId="244ABBBF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2005. Restriction enzyme site-</w:t>
            </w:r>
            <w:proofErr w:type="gram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directed amplification</w:t>
            </w:r>
            <w:proofErr w:type="gram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 PCR: A tool to identify regions flanking a marker DNA. </w:t>
            </w:r>
            <w:r w:rsidRPr="00347EA9">
              <w:rPr>
                <w:rFonts w:ascii="Arial" w:hAnsi="Arial" w:cs="Arial"/>
                <w:sz w:val="20"/>
                <w:szCs w:val="20"/>
              </w:rPr>
              <w:t xml:space="preserve">González-Ballester D., De </w:t>
            </w:r>
            <w:proofErr w:type="spellStart"/>
            <w:r w:rsidRPr="00347EA9">
              <w:rPr>
                <w:rFonts w:ascii="Arial" w:hAnsi="Arial" w:cs="Arial"/>
                <w:sz w:val="20"/>
                <w:szCs w:val="20"/>
              </w:rPr>
              <w:t>Montaigu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</w:rPr>
              <w:t xml:space="preserve"> A., Galván A., Fernández E.</w:t>
            </w:r>
            <w:r w:rsidRPr="00347EA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Analytical</w:t>
            </w:r>
            <w:proofErr w:type="spellEnd"/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Biochemistry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s-ES"/>
              </w:rPr>
              <w:t xml:space="preserve">, 340 (2), pp. 330 </w:t>
            </w:r>
            <w:r w:rsidRPr="00347EA9">
              <w:rPr>
                <w:rFonts w:ascii="Arial" w:hAnsi="Arial" w:cs="Arial"/>
                <w:sz w:val="20"/>
                <w:szCs w:val="20"/>
              </w:rPr>
              <w:t>–</w:t>
            </w:r>
            <w:r w:rsidRPr="00347EA9">
              <w:rPr>
                <w:rFonts w:ascii="Arial" w:hAnsi="Arial" w:cs="Arial"/>
                <w:sz w:val="20"/>
                <w:szCs w:val="20"/>
                <w:lang w:val="es-ES"/>
              </w:rPr>
              <w:t xml:space="preserve"> 335</w:t>
            </w:r>
            <w:r w:rsidRPr="00347EA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DOI: 10.1016</w:t>
            </w:r>
            <w:proofErr w:type="gram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/j</w:t>
            </w:r>
            <w:proofErr w:type="gram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proofErr w:type="gramStart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ab</w:t>
            </w:r>
            <w:proofErr w:type="gramEnd"/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.2005.01.031</w:t>
            </w:r>
          </w:p>
          <w:p w14:paraId="62114B14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 xml:space="preserve">2004. Ammonium transporter genes in Chlamydomonas: The nitrate-specific regulatory gene Nit2 is involved in Amt1;1 expression. </w:t>
            </w:r>
            <w:r w:rsidRPr="00347EA9">
              <w:rPr>
                <w:rFonts w:ascii="Arial" w:hAnsi="Arial" w:cs="Arial"/>
                <w:sz w:val="20"/>
                <w:szCs w:val="20"/>
                <w:lang w:val="es-ES"/>
              </w:rPr>
              <w:t xml:space="preserve">González-Ballester D., Camargo A., Fernández E. </w:t>
            </w:r>
            <w:proofErr w:type="spellStart"/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Plant</w:t>
            </w:r>
            <w:proofErr w:type="spellEnd"/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Molecular </w:t>
            </w:r>
            <w:proofErr w:type="spellStart"/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Biology</w:t>
            </w:r>
            <w:proofErr w:type="spellEnd"/>
            <w:r w:rsidRPr="00347EA9">
              <w:rPr>
                <w:rFonts w:ascii="Arial" w:hAnsi="Arial" w:cs="Arial"/>
                <w:sz w:val="20"/>
                <w:szCs w:val="20"/>
                <w:lang w:val="es-ES"/>
              </w:rPr>
              <w:t xml:space="preserve">, 56 (6), pp. 863 </w:t>
            </w:r>
            <w:r w:rsidRPr="00347EA9">
              <w:rPr>
                <w:rFonts w:ascii="Arial" w:hAnsi="Arial" w:cs="Arial"/>
                <w:sz w:val="20"/>
                <w:szCs w:val="20"/>
              </w:rPr>
              <w:t>–</w:t>
            </w:r>
            <w:r w:rsidRPr="00347EA9">
              <w:rPr>
                <w:rFonts w:ascii="Arial" w:hAnsi="Arial" w:cs="Arial"/>
                <w:sz w:val="20"/>
                <w:szCs w:val="20"/>
                <w:lang w:val="es-ES"/>
              </w:rPr>
              <w:t xml:space="preserve"> 878</w:t>
            </w:r>
            <w:r w:rsidRPr="00347EA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DOI: 10.1007/s11103-004-5292-7</w:t>
            </w:r>
          </w:p>
          <w:p w14:paraId="4C7A1D0D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2004. Transgenic microalgae as green cell-factories. León-Bañares R., González-Ballester D., Galván A., Fernández E. </w:t>
            </w:r>
            <w:r w:rsidRPr="00347E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Trends in Biotechnology</w:t>
            </w:r>
            <w:r w:rsidRPr="00347EA9">
              <w:rPr>
                <w:rFonts w:ascii="Arial" w:hAnsi="Arial" w:cs="Arial"/>
                <w:sz w:val="20"/>
                <w:szCs w:val="20"/>
                <w:lang w:val="en-US"/>
              </w:rPr>
              <w:t>, 22 (1), pp. 45 – 52. DOI: 10.1016/j.tibtech.2003.11.003</w:t>
            </w:r>
          </w:p>
          <w:p w14:paraId="03B94CF3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6C9B5DB" w14:textId="77777777" w:rsidR="00A7664E" w:rsidRPr="00347EA9" w:rsidRDefault="00A7664E" w:rsidP="00A7664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97A1E94" w14:textId="77777777" w:rsidR="00CA4995" w:rsidRPr="00347EA9" w:rsidRDefault="00CA4995" w:rsidP="006C67C8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66EF69AD" w14:textId="2165EA82" w:rsidR="00CA4995" w:rsidRPr="00347EA9" w:rsidRDefault="00CA4995" w:rsidP="00CA4995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</w:p>
        </w:tc>
      </w:tr>
      <w:tr w:rsidR="00CA4995" w:rsidRPr="0073321A" w14:paraId="49126F96" w14:textId="77777777" w:rsidTr="00CA4995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F5501C" w:rsidRDefault="00CA4995" w:rsidP="00CA4995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Otras Actividades Profesionales</w:t>
            </w:r>
          </w:p>
        </w:tc>
      </w:tr>
      <w:tr w:rsidR="00CA4995" w:rsidRPr="0073321A" w14:paraId="01887CEB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634FA562" w14:textId="77777777" w:rsidR="00CA4995" w:rsidRPr="00F5501C" w:rsidRDefault="00CA4995" w:rsidP="00CA4995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C2D033" w14:textId="77777777" w:rsidR="00CA4995" w:rsidRDefault="00CA4995"/>
    <w:sectPr w:rsidR="00CA4995" w:rsidSect="00CA4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5489D"/>
    <w:multiLevelType w:val="hybridMultilevel"/>
    <w:tmpl w:val="E21E1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11537">
    <w:abstractNumId w:val="3"/>
  </w:num>
  <w:num w:numId="2" w16cid:durableId="1170951403">
    <w:abstractNumId w:val="2"/>
  </w:num>
  <w:num w:numId="3" w16cid:durableId="369191781">
    <w:abstractNumId w:val="0"/>
  </w:num>
  <w:num w:numId="4" w16cid:durableId="35353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5"/>
    <w:rsid w:val="00004E75"/>
    <w:rsid w:val="000102FD"/>
    <w:rsid w:val="00057846"/>
    <w:rsid w:val="00075E89"/>
    <w:rsid w:val="000825B3"/>
    <w:rsid w:val="000963F4"/>
    <w:rsid w:val="000C2DC5"/>
    <w:rsid w:val="000D5E2A"/>
    <w:rsid w:val="000F2B14"/>
    <w:rsid w:val="001649CB"/>
    <w:rsid w:val="00187B02"/>
    <w:rsid w:val="00197C98"/>
    <w:rsid w:val="001D0AFD"/>
    <w:rsid w:val="00215246"/>
    <w:rsid w:val="00225615"/>
    <w:rsid w:val="00241904"/>
    <w:rsid w:val="00250A88"/>
    <w:rsid w:val="00271AA9"/>
    <w:rsid w:val="002734DE"/>
    <w:rsid w:val="002A305B"/>
    <w:rsid w:val="002B2BA0"/>
    <w:rsid w:val="002E6485"/>
    <w:rsid w:val="002F77FD"/>
    <w:rsid w:val="003020CC"/>
    <w:rsid w:val="00315345"/>
    <w:rsid w:val="00317B78"/>
    <w:rsid w:val="00333380"/>
    <w:rsid w:val="00347EA9"/>
    <w:rsid w:val="0035125E"/>
    <w:rsid w:val="00390F4C"/>
    <w:rsid w:val="00393972"/>
    <w:rsid w:val="003A1872"/>
    <w:rsid w:val="003A27B9"/>
    <w:rsid w:val="003D2C12"/>
    <w:rsid w:val="003F2186"/>
    <w:rsid w:val="004263A0"/>
    <w:rsid w:val="004447AA"/>
    <w:rsid w:val="0047641E"/>
    <w:rsid w:val="004775CF"/>
    <w:rsid w:val="0048254A"/>
    <w:rsid w:val="00482819"/>
    <w:rsid w:val="004B7AD3"/>
    <w:rsid w:val="004D70C8"/>
    <w:rsid w:val="00532F04"/>
    <w:rsid w:val="00540FA8"/>
    <w:rsid w:val="005504A5"/>
    <w:rsid w:val="00575FD0"/>
    <w:rsid w:val="005974AF"/>
    <w:rsid w:val="005A46D5"/>
    <w:rsid w:val="005A58FE"/>
    <w:rsid w:val="005E56B6"/>
    <w:rsid w:val="005F4334"/>
    <w:rsid w:val="00624624"/>
    <w:rsid w:val="006455EF"/>
    <w:rsid w:val="0065346A"/>
    <w:rsid w:val="006610E2"/>
    <w:rsid w:val="0067487E"/>
    <w:rsid w:val="006A4494"/>
    <w:rsid w:val="006A49F7"/>
    <w:rsid w:val="006A54AF"/>
    <w:rsid w:val="006B2F9C"/>
    <w:rsid w:val="006B72C8"/>
    <w:rsid w:val="006E7D70"/>
    <w:rsid w:val="006F517B"/>
    <w:rsid w:val="006F5ED8"/>
    <w:rsid w:val="00702434"/>
    <w:rsid w:val="00705FDB"/>
    <w:rsid w:val="00711541"/>
    <w:rsid w:val="00721873"/>
    <w:rsid w:val="0074276E"/>
    <w:rsid w:val="007461BA"/>
    <w:rsid w:val="00767C2B"/>
    <w:rsid w:val="00782532"/>
    <w:rsid w:val="00783837"/>
    <w:rsid w:val="007864C3"/>
    <w:rsid w:val="007B1E69"/>
    <w:rsid w:val="007C0BB7"/>
    <w:rsid w:val="007D41A0"/>
    <w:rsid w:val="00800BD2"/>
    <w:rsid w:val="0080227B"/>
    <w:rsid w:val="00850C80"/>
    <w:rsid w:val="0086027D"/>
    <w:rsid w:val="00892B22"/>
    <w:rsid w:val="008B4D06"/>
    <w:rsid w:val="008B628F"/>
    <w:rsid w:val="008C12F3"/>
    <w:rsid w:val="008C2ED0"/>
    <w:rsid w:val="008C52B7"/>
    <w:rsid w:val="008D041A"/>
    <w:rsid w:val="008D39A0"/>
    <w:rsid w:val="008F21D8"/>
    <w:rsid w:val="00907B8F"/>
    <w:rsid w:val="009255ED"/>
    <w:rsid w:val="00940B6B"/>
    <w:rsid w:val="00964C42"/>
    <w:rsid w:val="00985402"/>
    <w:rsid w:val="00986C2D"/>
    <w:rsid w:val="009C1A33"/>
    <w:rsid w:val="009C4960"/>
    <w:rsid w:val="009D1AF6"/>
    <w:rsid w:val="009F21BF"/>
    <w:rsid w:val="00A0041B"/>
    <w:rsid w:val="00A02412"/>
    <w:rsid w:val="00A23773"/>
    <w:rsid w:val="00A2477B"/>
    <w:rsid w:val="00A42B7F"/>
    <w:rsid w:val="00A56D5B"/>
    <w:rsid w:val="00A7664E"/>
    <w:rsid w:val="00AA1172"/>
    <w:rsid w:val="00B307D4"/>
    <w:rsid w:val="00B32735"/>
    <w:rsid w:val="00B60C73"/>
    <w:rsid w:val="00B70EC1"/>
    <w:rsid w:val="00B812FC"/>
    <w:rsid w:val="00BF005A"/>
    <w:rsid w:val="00C207EA"/>
    <w:rsid w:val="00C35EF0"/>
    <w:rsid w:val="00C4513E"/>
    <w:rsid w:val="00C57FC4"/>
    <w:rsid w:val="00C94EFB"/>
    <w:rsid w:val="00CA4995"/>
    <w:rsid w:val="00CB0C32"/>
    <w:rsid w:val="00CC50E0"/>
    <w:rsid w:val="00CD0F9A"/>
    <w:rsid w:val="00D9656C"/>
    <w:rsid w:val="00DA0C35"/>
    <w:rsid w:val="00DB7E1E"/>
    <w:rsid w:val="00DC5AA5"/>
    <w:rsid w:val="00DD25E0"/>
    <w:rsid w:val="00DE1278"/>
    <w:rsid w:val="00DF7219"/>
    <w:rsid w:val="00E05BF9"/>
    <w:rsid w:val="00E12D53"/>
    <w:rsid w:val="00E25D0D"/>
    <w:rsid w:val="00E67633"/>
    <w:rsid w:val="00E95AA5"/>
    <w:rsid w:val="00F12C40"/>
    <w:rsid w:val="00F31B67"/>
    <w:rsid w:val="00F56472"/>
    <w:rsid w:val="00F64873"/>
    <w:rsid w:val="00F908D3"/>
    <w:rsid w:val="00FA55C8"/>
    <w:rsid w:val="00FD087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2E1F"/>
  <w15:chartTrackingRefBased/>
  <w15:docId w15:val="{CC182377-F956-B749-A655-2FA9760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95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C2D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CA499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8314</Characters>
  <Application>Microsoft Office Word</Application>
  <DocSecurity>0</DocSecurity>
  <Lines>69</Lines>
  <Paragraphs>19</Paragraphs>
  <ScaleCrop>false</ScaleCrop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Gomez</dc:creator>
  <cp:keywords/>
  <dc:description/>
  <cp:lastModifiedBy>David Gonzalez</cp:lastModifiedBy>
  <cp:revision>2</cp:revision>
  <dcterms:created xsi:type="dcterms:W3CDTF">2025-05-26T10:16:00Z</dcterms:created>
  <dcterms:modified xsi:type="dcterms:W3CDTF">2025-05-26T10:16:00Z</dcterms:modified>
</cp:coreProperties>
</file>