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1192AE0F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13B8E784" w:rsidR="00CA4995" w:rsidRPr="00CA4995" w:rsidRDefault="0030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Lidia Gómez Gascón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66C9AA32" w:rsidR="00CA4995" w:rsidRPr="00CA4995" w:rsidRDefault="0030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Profesora titular de universidad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0239EB56" w:rsidR="00CA4995" w:rsidRPr="00CA4995" w:rsidRDefault="0030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Docente e investigadora</w:t>
            </w: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61CD6D71" w:rsidR="00CA4995" w:rsidRPr="00CA4995" w:rsidRDefault="0030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Sanidad Animal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4F2EF918" w:rsidR="00CA4995" w:rsidRPr="00CA4995" w:rsidRDefault="0030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Microbiología e Inmunología y Sanidad Animal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5816DE1E" w:rsidR="00CA4995" w:rsidRPr="00CA4995" w:rsidRDefault="0030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676422727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540055AB" w:rsidR="00CA4995" w:rsidRPr="00CA4995" w:rsidRDefault="007E5CC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  <w:r w:rsidR="003061C5">
              <w:rPr>
                <w:rFonts w:cs="Arial"/>
                <w:sz w:val="20"/>
                <w:szCs w:val="20"/>
              </w:rPr>
              <w:t>32gogal@uco.es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36339B2D" w:rsidR="00CA4995" w:rsidRPr="00CA4995" w:rsidRDefault="0030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3061C5">
              <w:rPr>
                <w:rFonts w:cs="Arial"/>
                <w:sz w:val="20"/>
                <w:szCs w:val="20"/>
              </w:rPr>
              <w:t>0000-0002-4570-6635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66071130" w:rsidR="0048254A" w:rsidRPr="00CA4995" w:rsidRDefault="00B63CE4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t>https://www.researchgate.net/profile/Lidia-Gomez-Gascon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62B560CC" w14:textId="77777777" w:rsidR="003061C5" w:rsidRDefault="003061C5" w:rsidP="003061C5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3061C5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– Control y bioseguridad en enfermedades de animales domésticos</w:t>
            </w:r>
            <w:r w:rsidRPr="003061C5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br/>
              <w:t>– Diagnóstico y control de enfermedades infecciosas en animales de compañía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y abasto</w:t>
            </w:r>
            <w:r w:rsidRPr="003061C5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br/>
              <w:t xml:space="preserve">– 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Resistencias antimicrobianas</w:t>
            </w:r>
            <w:r w:rsidRPr="003061C5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br/>
              <w:t xml:space="preserve">– Evaluación de aceites esenciales 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y productos naturales </w:t>
            </w:r>
            <w:r w:rsidRPr="003061C5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para el control de enfermedades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infecciosas</w:t>
            </w:r>
          </w:p>
          <w:p w14:paraId="27E5CE29" w14:textId="2D96AD3A" w:rsidR="003061C5" w:rsidRPr="003061C5" w:rsidRDefault="003061C5" w:rsidP="003061C5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3061C5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– Desarrollo de técnicas de diagnóstico y evaluación de vacunas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1EF9C457" w14:textId="73F4582B" w:rsidR="00B15F1B" w:rsidRP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Identificación y evaluación de candidatos proteicos para vacunas frente a bacterias patógenas del género </w:t>
            </w:r>
            <w:proofErr w:type="spellStart"/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>Streptococcus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, mediante nuevas estrategias proteómicas.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: P09-CTS- 4616. Consejería de Innovación, Ciencia y Empresa. Duración: De 03-02-2010 a 31-12-2014. 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6EEE0E4D" w14:textId="6BF613D8" w:rsidR="00B15F1B" w:rsidRP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WELLVAC-SUIS-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Valoration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of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a new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recombinant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protein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as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vaccine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candidate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against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>Streptococcus</w:t>
            </w:r>
            <w:proofErr w:type="spellEnd"/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>suis</w:t>
            </w:r>
            <w:proofErr w:type="spellEnd"/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infection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in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pigs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.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: FP7-228393 (NADIR Project). Unión Europea. Duración: del 01/03/2013 al 31/05/2013. 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3DA791DD" w14:textId="5A64412D" w:rsidR="00B15F1B" w:rsidRP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Identification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of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bacterial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allergens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.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The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research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association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of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the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Universit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Medicine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Greifswald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(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Research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Association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Community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Medicine, Molecular Medicine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Research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Network </w:t>
            </w:r>
          </w:p>
          <w:p w14:paraId="1BBC8817" w14:textId="65533A2E" w:rsidR="00B15F1B" w:rsidRP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36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Curriculum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vitae and GANLMED). Duración: 1/05/2017 a 31/12/2017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>Investigador principal</w:t>
            </w:r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>.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 </w:t>
            </w:r>
          </w:p>
          <w:p w14:paraId="2ABDADC1" w14:textId="2A1ECFAF" w:rsidR="00B15F1B" w:rsidRP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INNOTUBER: nuevas medidas y técnicas de control de la tuberculosis bovina en Andalucía. Fondo Europeo Agrícola de Desarrollo Rural (FEADER) y Consejería de Agricultura y Pesca (Junta de Andalucía). Duración: 15/02/2018 al 15/02/2020. 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49BF7EF5" w14:textId="0FC87F60" w:rsidR="00B15F1B" w:rsidRP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Caracterización genética de factores de virulencia y resistencia antimicrobiana de cepas de Salmonella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mST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aisladas a partir de la cadena alimentaria.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: 1253773-R. Consejería de economía,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conocimiento, empresas y universidad. Duración: 01-01-2020 a 31-12-2020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. 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>Investigadora</w:t>
            </w:r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Colaboradora. </w:t>
            </w:r>
          </w:p>
          <w:p w14:paraId="52765F89" w14:textId="3CD56FFD" w:rsidR="00B15F1B" w:rsidRP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Proyecto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AgroMIS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: ceiA3 instrumento estratégico hacia un tejido productivo Agroalimentario Moderno, Innovador y Sostenible: motor del territorio rural andaluz.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Sublínea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: SL2421. Consejería de economía, conocimiento, empresas y universidad. 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223BDF24" w14:textId="149F16F2" w:rsid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Nanotecnología aplicada a la mejora de la calidad y fertilidad del semen equino: purificación del semen y efecto antimicrobiano.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: PID2020-116090RB-I00. Ministerio de Ciencia e Innovación. Duración: De 01-09-2021 a 31-08-2025. 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4A7E7EFA" w14:textId="77777777" w:rsid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b/>
                <w:bCs/>
                <w:i/>
                <w:iCs/>
                <w:color w:val="7F7F7F"/>
                <w:sz w:val="20"/>
                <w:szCs w:val="20"/>
                <w:lang w:val="es-ES" w:eastAsia="ja-JP"/>
              </w:rPr>
              <w:t xml:space="preserve">Contratos para proyectos de investigación ligados a convocatorias competitivas </w:t>
            </w:r>
          </w:p>
          <w:p w14:paraId="40497987" w14:textId="3AA8B56D" w:rsidR="00B15F1B" w:rsidRP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Impacto y medidas de control del cerdo ibérico en la dehesa (BIODHESA). </w:t>
            </w:r>
            <w:proofErr w:type="spellStart"/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>: 20111633. Centro Desarrollo Tecnológico Industrial (CDTI).</w:t>
            </w: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 xml:space="preserve">Duración: </w:t>
            </w: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1 de mayo de 2011 a 30 de abril 2014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. 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5DC7FD38" w14:textId="70DA0995" w:rsidR="00B15F1B" w:rsidRP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SAFEPORK-zoonosis alimentarias en el cerdo ibérico: prevalencia y control desde la granja para la obtención de alimentos seguros. </w:t>
            </w:r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>Ref.699517. Agencia IDEA</w:t>
            </w: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. Duración: 20/07/2012 a 31/12/2014. 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5C4A2AA1" w14:textId="7A2DCF0A" w:rsidR="00B15F1B" w:rsidRP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Toxoplasmosis: herramientas diagnósticas y viabilidad del parásito tras el procesado (TOXOFREE). Participando como grupo investigador. </w:t>
            </w:r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 xml:space="preserve">Centro para el Desarrollo Tecnológico Industrial (CDTI). </w:t>
            </w:r>
            <w:proofErr w:type="spellStart"/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 xml:space="preserve">: </w:t>
            </w:r>
          </w:p>
          <w:p w14:paraId="29B020D9" w14:textId="3E3108EF" w:rsidR="00B15F1B" w:rsidRP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 xml:space="preserve">IDI-20120176. </w:t>
            </w: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Duración: 14 de febrero 2012 a 14 febrero de 2013. 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Tecnologías para la optimización de la sanidad, producción y productos de la leche de cabra en Andalucía </w:t>
            </w: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lastRenderedPageBreak/>
              <w:t xml:space="preserve">(CAPRITEC). FEDER-INTERCONECTA: Proyecto Colaborativo de convocatorias competitivas.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: 12013126. Duración: 27/03/2013 a 31/12/2017. 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64E8E80B" w14:textId="5C223CA7" w:rsidR="00B15F1B" w:rsidRDefault="00B15F1B" w:rsidP="005360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</w:pPr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Estrategias de Control frente a la Linfadenitis del Cerdo Ibérico en Intensivo. PROYECTO AGRUPACIONES GANADERAS. Ministerio de Agricultura, Alimentación y Medio Ambiente (MAGRAMA). </w:t>
            </w:r>
            <w:proofErr w:type="spellStart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B15F1B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: 20140020001824. Duración: 26/11/2014 a 31/12/2016</w:t>
            </w:r>
            <w:r w:rsid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. </w:t>
            </w:r>
            <w:r w:rsidRPr="00B15F1B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507C27AF" w14:textId="77777777" w:rsidR="005360E5" w:rsidRPr="005360E5" w:rsidRDefault="005360E5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5360E5">
              <w:rPr>
                <w:rFonts w:ascii="Arial" w:hAnsi="Arial" w:cs="Arial"/>
                <w:b/>
                <w:bCs/>
                <w:i/>
                <w:iCs/>
                <w:color w:val="7F7F7F"/>
                <w:sz w:val="20"/>
                <w:szCs w:val="20"/>
                <w:lang w:val="es-ES" w:eastAsia="ja-JP"/>
              </w:rPr>
              <w:t xml:space="preserve">Contratos firmados al amparo del Artículo 60 LOSU (antiguo art. 83) </w:t>
            </w:r>
          </w:p>
          <w:p w14:paraId="460B3D5D" w14:textId="1A8BD5FD" w:rsidR="005360E5" w:rsidRPr="005360E5" w:rsidRDefault="005360E5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Diagnóstico y control de las estreptococias porcinas. </w:t>
            </w:r>
            <w:proofErr w:type="spellStart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: Contrato art. 83. Empresa </w:t>
            </w:r>
            <w:proofErr w:type="spellStart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Additives</w:t>
            </w:r>
            <w:proofErr w:type="spellEnd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for</w:t>
            </w:r>
            <w:proofErr w:type="spellEnd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Farming</w:t>
            </w:r>
            <w:proofErr w:type="spellEnd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S.L. (12018149). Duración: 15/10/2018 al 15/10/2019. </w:t>
            </w:r>
            <w:r w:rsidRPr="005360E5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383DFBFE" w14:textId="3F8A461E" w:rsidR="005360E5" w:rsidRPr="005360E5" w:rsidRDefault="005360E5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Valoración de la eficacia y seguridad de vacunas. </w:t>
            </w:r>
            <w:proofErr w:type="spellStart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: Contrato art. 83. con varias empresas (12015058). Duración: del 13/04/2015 al 04/04/2018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. </w:t>
            </w:r>
            <w:r w:rsidRPr="005360E5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74CFBF71" w14:textId="77777777" w:rsidR="005360E5" w:rsidRDefault="005360E5" w:rsidP="005360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</w:pPr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Estudio descriptivo y factores de riesgo de </w:t>
            </w:r>
            <w:proofErr w:type="spellStart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Ehrlichiosis</w:t>
            </w:r>
            <w:proofErr w:type="spellEnd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, Enfermedad de Lyme, </w:t>
            </w:r>
            <w:proofErr w:type="spellStart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Dirofilariosis</w:t>
            </w:r>
            <w:proofErr w:type="spellEnd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, </w:t>
            </w:r>
            <w:proofErr w:type="spellStart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Anaplasmosis</w:t>
            </w:r>
            <w:proofErr w:type="spellEnd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y Leishmaniosis en la población canina de Andalucía. </w:t>
            </w:r>
            <w:proofErr w:type="spellStart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: Contrato art. 83. Consejo General de Colegios Veterinarios de Andalucía (12012164). Duración: 05/03/2013 al 05/03/2014. </w:t>
            </w:r>
            <w:r w:rsidRPr="005360E5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3859E0D5" w14:textId="1AA7B625" w:rsidR="005360E5" w:rsidRPr="005360E5" w:rsidRDefault="005360E5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Estudio experimental mediante una prueba de campo para valorar la eficacia de </w:t>
            </w:r>
            <w:proofErr w:type="spellStart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bacterinas</w:t>
            </w:r>
            <w:proofErr w:type="spellEnd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elaboradas con cepas autóctonas en el control de cuadros clínicos que afectan al cerdo. </w:t>
            </w:r>
            <w:proofErr w:type="spellStart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: Contrato art. 83. Empresa Sánchez Romero Carvajal (12011216). Duración: 24/11/2011 al 24/05/2012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. </w:t>
            </w:r>
            <w:r w:rsidRPr="005360E5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 xml:space="preserve">Investigadora Colaboradora. </w:t>
            </w:r>
          </w:p>
          <w:p w14:paraId="6234AB2A" w14:textId="7FF2FB11" w:rsidR="00CA4995" w:rsidRPr="00726E9A" w:rsidRDefault="005360E5" w:rsidP="005360E5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proofErr w:type="spellStart"/>
            <w:r w:rsidRPr="005360E5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>Immunity</w:t>
            </w:r>
            <w:proofErr w:type="spellEnd"/>
            <w:r w:rsidRPr="005360E5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 w:eastAsia="ja-JP"/>
              </w:rPr>
              <w:t xml:space="preserve"> UP</w:t>
            </w:r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: mejora del estatus sanitario del ovino extensivo. Complejo respiratorio Ovino (CRO). </w:t>
            </w:r>
            <w:proofErr w:type="spellStart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Ref</w:t>
            </w:r>
            <w:proofErr w:type="spellEnd"/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>: 12023007. Contrato art. 83. Fundación Centro de Investigación y Calidad Agroalimentaria del Valle de los Pedroches (CICAP). Duración: 27-03-2023 al 31-12-2024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. </w:t>
            </w:r>
            <w:r w:rsidRPr="005360E5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>Investigador principal</w:t>
            </w:r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 w:eastAsia="ja-JP"/>
              </w:rPr>
              <w:t>.</w:t>
            </w:r>
            <w:r w:rsidRPr="005360E5"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  <w:t xml:space="preserve"> 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97A1E94" w14:textId="77777777" w:rsidR="00CA4995" w:rsidRPr="00F5501C" w:rsidRDefault="00CA4995" w:rsidP="006C67C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453520EF" w14:textId="77777777" w:rsidR="00811EB3" w:rsidRDefault="00811EB3" w:rsidP="00811EB3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A. Galán-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Relaño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J.M. Sánchez-Carvajal; </w:t>
            </w:r>
            <w:r w:rsidRPr="00811EB3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/>
              </w:rPr>
              <w:t>L. Gómez-Gascón*</w:t>
            </w: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; E. Vera; B. Huerta; F. Cardoso-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Toset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J. Gómez-Laguna; R.J. Astorga.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Phenotypic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genotypic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antibiotic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resistance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patterns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in </w:t>
            </w:r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Salmonella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Typhimurium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</w:t>
            </w: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and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its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monophasic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variant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from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pigs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southern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Spain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Research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Veterinary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Science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152: 596-603. 2022.  </w:t>
            </w:r>
          </w:p>
          <w:p w14:paraId="1782B94B" w14:textId="7B3BEE62" w:rsidR="00811EB3" w:rsidRPr="00811EB3" w:rsidRDefault="00811EB3" w:rsidP="00811EB3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Ángela Galán-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Relaño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Alfonso Maldonado; </w:t>
            </w:r>
            <w:r w:rsidRPr="00811EB3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/>
              </w:rPr>
              <w:t>Lidia Gómez-Gascón*</w:t>
            </w: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Carmen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Tarradas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Rafael Jesús Astorga; Inmaculada Luque; Belén Huerta. Pre-test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probability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likelihood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ratios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for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clinical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findings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in canine leishmaniasis.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Transboundery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Emerging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Diseases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Nov;69(6):3540-3547. 2022. </w:t>
            </w:r>
          </w:p>
          <w:p w14:paraId="0D0B280C" w14:textId="4B6FFF4C" w:rsidR="00811EB3" w:rsidRPr="00811EB3" w:rsidRDefault="00811EB3" w:rsidP="00811EB3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Fernanda Larenas-Muñoz; José M. Sánchez-Carvajal; Ángela Galán-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Relaño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Inés Ruedas-Torres; Eduardo Vera-Salmoral; </w:t>
            </w:r>
            <w:r w:rsidRPr="00811EB3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/>
              </w:rPr>
              <w:t>Lidia Gómez-Gascón</w:t>
            </w: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Alfonso Maldonado; Librado Carrasco; Carmen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Tarradas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Inmaculada Luque; Irene M. Rodríguez-Gómez; Jaime Gómez-Laguna1.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The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role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of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histopathology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as a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complementary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diagnostic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tool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the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monitoring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of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Bovine Tuberculosis.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Frontiers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Veterinary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Science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May </w:t>
            </w:r>
            <w:proofErr w:type="gram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13;9:816190</w:t>
            </w:r>
            <w:proofErr w:type="gram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: 1-12. 2022. </w:t>
            </w:r>
          </w:p>
          <w:p w14:paraId="000C17E0" w14:textId="49845BF7" w:rsidR="00811EB3" w:rsidRPr="00811EB3" w:rsidRDefault="00811EB3" w:rsidP="00811EB3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811EB3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/>
              </w:rPr>
              <w:t>L. Gómez-Gascón</w:t>
            </w: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; A. Galán-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Relaño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; F. Cardoso-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Toset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B. Barrero-Domínguez; R. J. Astorga; I. Luque; C.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Tarradas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J.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G´omez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-Laguna.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Lactate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dehydrogenase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Detecting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high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bacterial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somatic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cells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counts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goats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from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whole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milk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samples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</w:t>
            </w:r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Small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Ruminant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Research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208: 1-6. 2022. </w:t>
            </w:r>
          </w:p>
          <w:p w14:paraId="6AFC92BC" w14:textId="6983D11F" w:rsidR="00811EB3" w:rsidRDefault="00811EB3" w:rsidP="00811EB3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Francisco Jurado-Martos; Fernando Cardoso-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Toset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Carmen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Tarradas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; Ángela Galán-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Relaño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José María, Sánchez-Carvajal; Inés Ruedas-Torres; Eduardo Vera; Fernanda Larenas-Muñoz; </w:t>
            </w:r>
            <w:r w:rsidRPr="00811EB3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/>
              </w:rPr>
              <w:t>Lidia Gómez-Gascón</w:t>
            </w: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; Irene Magdalena Rodríguez-Gómez; Librado Carrasco; Jaime Gómez-Laguna; Belén Huerta Lorenzo; Inmaculada Luque.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Diagnostic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performance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of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faecal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tissue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multiplex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qPCR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IS900/F57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for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the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detection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of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Mycobacterium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avium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subspecies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paratuberculosis </w:t>
            </w: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in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cattle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Research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Veterinary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Science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161:156-162. 2023. </w:t>
            </w:r>
          </w:p>
          <w:p w14:paraId="564738CD" w14:textId="77777777" w:rsidR="00811EB3" w:rsidRPr="00811EB3" w:rsidRDefault="00811EB3" w:rsidP="00811EB3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Ángela Galán-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Relaño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, Antonio Valero Díaz, Belén Huerta Lorenzo, </w:t>
            </w:r>
            <w:r w:rsidRPr="00811EB3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/>
              </w:rPr>
              <w:t>Lidia Gómez-Gascón</w:t>
            </w: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, M.ª Ángeles Mena Rodríguez, Elena Carrasco Jiménez, Fernando Pérez Rodríguez, Rafael J. Astorga Márquez. Salmonella and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Salmonellosis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An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Update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on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Public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Health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Implications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and Control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Strategies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Animals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13(23), 3666: 1-22. 2023. </w:t>
            </w:r>
          </w:p>
          <w:p w14:paraId="055AE598" w14:textId="3C715F28" w:rsidR="00811EB3" w:rsidRPr="00811EB3" w:rsidRDefault="00811EB3" w:rsidP="00811EB3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Eduardo Vera-Salmoral, José María Sánchez-Carvajal, </w:t>
            </w:r>
            <w:r w:rsidRPr="00811EB3"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s-ES"/>
              </w:rPr>
              <w:t>Lidia Gómez-Gascón</w:t>
            </w: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, Fernanda Larenas-Muñoz, Carmen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Tarradas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, Jaime Gómez-Laguna, Belén Huerta.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Assessment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of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the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diagnostic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lastRenderedPageBreak/>
              <w:t xml:space="preserve">performance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of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intradermal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tuberculin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test and post-mortem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inspection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for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the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diagnosis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of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bovine tuberculosis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according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to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WOAH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guidelines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Research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Veterinary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Science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168:105159: 1-7. 2024. </w:t>
            </w:r>
          </w:p>
          <w:p w14:paraId="66EF69AD" w14:textId="4A02AC71" w:rsidR="00CA4995" w:rsidRPr="00F84AEF" w:rsidRDefault="00811EB3" w:rsidP="00811EB3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Belén Huerta Lorenzo, Ángela Galán-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Relaño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, Emilio Barba-Sánchez, Antonio Romero-Salmoral, Ana Lucía Solarte-Portilla, Lidia Gómez-Gascón, Rafael Jesús Astorga Márquez.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Potentiation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of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the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antimicrobial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effect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of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Oxytetracycline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combined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with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cinnamon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clove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oregano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and red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thyme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essential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oils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against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Salmonella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enterica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strains</w:t>
            </w:r>
            <w:proofErr w:type="spellEnd"/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>Animals</w:t>
            </w:r>
            <w:proofErr w:type="spellEnd"/>
            <w:r w:rsidRPr="00811EB3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val="es-ES"/>
              </w:rPr>
              <w:t xml:space="preserve">. </w:t>
            </w:r>
            <w:r w:rsidRPr="00811EB3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14(9), 1347: 1-9. 2024. </w:t>
            </w: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34FA562" w14:textId="77777777" w:rsidR="00CA4995" w:rsidRPr="00F5501C" w:rsidRDefault="00CA4995" w:rsidP="00CA4995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567"/>
    <w:multiLevelType w:val="hybridMultilevel"/>
    <w:tmpl w:val="0F0E033E"/>
    <w:lvl w:ilvl="0" w:tplc="4050BA9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6DC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2198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7806C20"/>
    <w:multiLevelType w:val="hybridMultilevel"/>
    <w:tmpl w:val="EAC2BF88"/>
    <w:lvl w:ilvl="0" w:tplc="9DC65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2A20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7"/>
  </w:num>
  <w:num w:numId="2" w16cid:durableId="1170951403">
    <w:abstractNumId w:val="6"/>
  </w:num>
  <w:num w:numId="3" w16cid:durableId="369191781">
    <w:abstractNumId w:val="2"/>
  </w:num>
  <w:num w:numId="4" w16cid:durableId="1105537193">
    <w:abstractNumId w:val="0"/>
  </w:num>
  <w:num w:numId="5" w16cid:durableId="625618755">
    <w:abstractNumId w:val="4"/>
  </w:num>
  <w:num w:numId="6" w16cid:durableId="484662060">
    <w:abstractNumId w:val="5"/>
  </w:num>
  <w:num w:numId="7" w16cid:durableId="1771047426">
    <w:abstractNumId w:val="3"/>
  </w:num>
  <w:num w:numId="8" w16cid:durableId="141921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061C5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32F04"/>
    <w:rsid w:val="005360E5"/>
    <w:rsid w:val="00540FA8"/>
    <w:rsid w:val="005504A5"/>
    <w:rsid w:val="00575FD0"/>
    <w:rsid w:val="00591D03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B1E69"/>
    <w:rsid w:val="007C0BB7"/>
    <w:rsid w:val="007D41A0"/>
    <w:rsid w:val="007E5CCD"/>
    <w:rsid w:val="00800BD2"/>
    <w:rsid w:val="0080227B"/>
    <w:rsid w:val="00811EB3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B15F1B"/>
    <w:rsid w:val="00B307D4"/>
    <w:rsid w:val="00B60C73"/>
    <w:rsid w:val="00B63CE4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EE47C4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061C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61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3C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Guadalupe Gomez</cp:lastModifiedBy>
  <cp:revision>5</cp:revision>
  <dcterms:created xsi:type="dcterms:W3CDTF">2025-04-30T09:25:00Z</dcterms:created>
  <dcterms:modified xsi:type="dcterms:W3CDTF">2025-05-04T18:34:00Z</dcterms:modified>
</cp:coreProperties>
</file>