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D0" w:rsidRPr="00A426F2" w:rsidRDefault="00582EEC" w:rsidP="00F805D0">
      <w:pPr>
        <w:jc w:val="both"/>
        <w:rPr>
          <w:rFonts w:ascii="Arial Narrow" w:hAnsi="Arial Narrow"/>
          <w:sz w:val="20"/>
          <w:szCs w:val="20"/>
        </w:rPr>
      </w:pPr>
      <w:r>
        <w:rPr>
          <w:rFonts w:ascii="Arial Narrow" w:hAnsi="Arial Narrow"/>
          <w:sz w:val="20"/>
          <w:szCs w:val="20"/>
        </w:rPr>
        <w:t>E</w:t>
      </w:r>
      <w:r w:rsidR="00F805D0" w:rsidRPr="00A426F2">
        <w:rPr>
          <w:rFonts w:ascii="Arial Narrow" w:hAnsi="Arial Narrow"/>
          <w:sz w:val="20"/>
          <w:szCs w:val="20"/>
        </w:rPr>
        <w:t>l objetivo del presente master se puede abordar desde 3 puntos de vista:</w:t>
      </w:r>
    </w:p>
    <w:p w:rsidR="00F805D0" w:rsidRPr="00A426F2" w:rsidRDefault="00F805D0" w:rsidP="00F805D0">
      <w:pPr>
        <w:jc w:val="both"/>
        <w:rPr>
          <w:rFonts w:ascii="Arial Narrow" w:hAnsi="Arial Narrow"/>
          <w:sz w:val="20"/>
          <w:szCs w:val="20"/>
        </w:rPr>
      </w:pPr>
    </w:p>
    <w:p w:rsidR="00F805D0" w:rsidRDefault="00F805D0" w:rsidP="00F805D0">
      <w:pPr>
        <w:numPr>
          <w:ilvl w:val="0"/>
          <w:numId w:val="1"/>
        </w:numPr>
        <w:tabs>
          <w:tab w:val="left" w:pos="720"/>
        </w:tabs>
        <w:jc w:val="both"/>
        <w:rPr>
          <w:rFonts w:ascii="Arial Narrow" w:hAnsi="Arial Narrow"/>
          <w:sz w:val="20"/>
          <w:szCs w:val="20"/>
        </w:rPr>
      </w:pPr>
      <w:r w:rsidRPr="00A426F2">
        <w:rPr>
          <w:rFonts w:ascii="Arial Narrow" w:hAnsi="Arial Narrow"/>
          <w:sz w:val="20"/>
          <w:szCs w:val="20"/>
        </w:rPr>
        <w:t>Profesional: formar titulados universitarios en el campo de la prevención de riesgos laborales, con el nivel de cualificación suficiente, que les permita asumir y realizar con garantías las funciones que, para el nivel de formación superior, establece el Reglamento de los Servicios de Prevención, en su artículo 37.</w:t>
      </w:r>
    </w:p>
    <w:p w:rsidR="00582EEC" w:rsidRPr="00A426F2" w:rsidRDefault="00582EEC" w:rsidP="00582EEC">
      <w:pPr>
        <w:tabs>
          <w:tab w:val="left" w:pos="720"/>
        </w:tabs>
        <w:ind w:left="720"/>
        <w:jc w:val="both"/>
        <w:rPr>
          <w:rFonts w:ascii="Arial Narrow" w:hAnsi="Arial Narrow"/>
          <w:sz w:val="20"/>
          <w:szCs w:val="20"/>
        </w:rPr>
      </w:pPr>
    </w:p>
    <w:p w:rsidR="00F805D0" w:rsidRPr="00F805D0" w:rsidRDefault="00F805D0" w:rsidP="00F805D0">
      <w:pPr>
        <w:tabs>
          <w:tab w:val="num" w:pos="360"/>
        </w:tabs>
        <w:jc w:val="both"/>
        <w:rPr>
          <w:rFonts w:ascii="Arial Narrow" w:hAnsi="Arial Narrow"/>
          <w:sz w:val="20"/>
          <w:szCs w:val="20"/>
        </w:rPr>
      </w:pPr>
      <w:r w:rsidRPr="00F805D0">
        <w:rPr>
          <w:rFonts w:ascii="Arial Narrow" w:hAnsi="Arial Narrow"/>
          <w:sz w:val="20"/>
          <w:szCs w:val="20"/>
        </w:rPr>
        <w:t>El objetivo formativo se concreta en la impartición de las especialidades de Seguridad, Higiene Industrial, y Ergonomía y Psicosociología Aplicada, establecidas por el RD 39/97.</w:t>
      </w:r>
    </w:p>
    <w:p w:rsidR="00F805D0" w:rsidRPr="00F805D0" w:rsidRDefault="00F805D0" w:rsidP="00F805D0">
      <w:pPr>
        <w:spacing w:before="60"/>
        <w:jc w:val="both"/>
        <w:rPr>
          <w:rFonts w:ascii="Arial Narrow" w:hAnsi="Arial Narrow"/>
          <w:sz w:val="20"/>
          <w:szCs w:val="20"/>
        </w:rPr>
      </w:pPr>
      <w:r w:rsidRPr="00F805D0">
        <w:rPr>
          <w:rFonts w:ascii="Arial Narrow" w:hAnsi="Arial Narrow"/>
          <w:sz w:val="20"/>
          <w:szCs w:val="20"/>
        </w:rPr>
        <w:t>De lo anteriormente expuesto queda clara la necesidad científica y académica de estos estudios y, al tratarse de una profesión regulada en el citado RD, con las atribuciones profesionales especificadas en su articulado, la justificación profesional en cuanto a demanda social queda asimismo plenamente garantizada.</w:t>
      </w:r>
    </w:p>
    <w:p w:rsidR="00F805D0" w:rsidRDefault="00F805D0" w:rsidP="00F805D0">
      <w:pPr>
        <w:spacing w:before="60"/>
        <w:jc w:val="both"/>
        <w:rPr>
          <w:rFonts w:ascii="Arial Narrow" w:hAnsi="Arial Narrow"/>
          <w:sz w:val="20"/>
          <w:szCs w:val="20"/>
        </w:rPr>
      </w:pPr>
    </w:p>
    <w:p w:rsidR="00F805D0" w:rsidRDefault="00F805D0" w:rsidP="00F805D0">
      <w:pPr>
        <w:spacing w:before="60"/>
        <w:ind w:firstLine="340"/>
        <w:jc w:val="both"/>
        <w:rPr>
          <w:rFonts w:ascii="Arial Narrow" w:hAnsi="Arial Narrow"/>
          <w:sz w:val="20"/>
          <w:szCs w:val="20"/>
        </w:rPr>
      </w:pPr>
      <w:r w:rsidRPr="00A426F2">
        <w:rPr>
          <w:rFonts w:ascii="Arial Narrow" w:hAnsi="Arial Narrow"/>
          <w:sz w:val="20"/>
          <w:szCs w:val="20"/>
        </w:rPr>
        <w:t>Estos estudios de postgrado, además, vienen a cubrir una demanda empresarial y legal que se mantiene claramente por todo lo expuesto anteriormente (alta siniestralidad, necesidad de titulados especializados en estas materias, necesidad de su existencia por imperativo social y por exigencias legales en cuanto a la homologación recibida por estas personas).</w:t>
      </w:r>
    </w:p>
    <w:p w:rsidR="0091210F" w:rsidRPr="00A426F2" w:rsidRDefault="0091210F" w:rsidP="00F805D0">
      <w:pPr>
        <w:spacing w:before="60"/>
        <w:ind w:firstLine="340"/>
        <w:jc w:val="both"/>
        <w:rPr>
          <w:rFonts w:ascii="Arial Narrow" w:hAnsi="Arial Narrow"/>
          <w:sz w:val="20"/>
          <w:szCs w:val="20"/>
        </w:rPr>
      </w:pPr>
    </w:p>
    <w:p w:rsidR="00F805D0" w:rsidRDefault="0091210F" w:rsidP="00F805D0">
      <w:pPr>
        <w:spacing w:before="60"/>
        <w:ind w:firstLine="340"/>
        <w:jc w:val="both"/>
        <w:rPr>
          <w:rFonts w:ascii="Arial Narrow" w:hAnsi="Arial Narrow"/>
          <w:sz w:val="20"/>
          <w:szCs w:val="20"/>
        </w:rPr>
      </w:pPr>
      <w:r>
        <w:rPr>
          <w:rFonts w:ascii="Arial Narrow" w:hAnsi="Arial Narrow"/>
          <w:sz w:val="20"/>
          <w:szCs w:val="20"/>
        </w:rPr>
        <w:t>EN SU CASO, NORMAS REGULADORAS DEL EJERCICIO PROFESIONAL:</w:t>
      </w:r>
    </w:p>
    <w:tbl>
      <w:tblPr>
        <w:tblW w:w="929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bottom w:w="28" w:type="dxa"/>
        </w:tblCellMar>
        <w:tblLook w:val="0000" w:firstRow="0" w:lastRow="0" w:firstColumn="0" w:lastColumn="0" w:noHBand="0" w:noVBand="0"/>
      </w:tblPr>
      <w:tblGrid>
        <w:gridCol w:w="9298"/>
      </w:tblGrid>
      <w:tr w:rsidR="00F805D0" w:rsidTr="0091210F">
        <w:tc>
          <w:tcPr>
            <w:tcW w:w="9298" w:type="dxa"/>
            <w:tcMar>
              <w:top w:w="0" w:type="dxa"/>
              <w:bottom w:w="0" w:type="dxa"/>
            </w:tcMar>
          </w:tcPr>
          <w:p w:rsidR="00F805D0" w:rsidRPr="00A426F2" w:rsidRDefault="00F805D0" w:rsidP="0091210F">
            <w:pPr>
              <w:snapToGrid w:val="0"/>
              <w:spacing w:before="60"/>
              <w:ind w:firstLine="340"/>
              <w:rPr>
                <w:rFonts w:ascii="Arial Narrow" w:hAnsi="Arial Narrow" w:cs="Arial"/>
                <w:sz w:val="20"/>
                <w:szCs w:val="20"/>
              </w:rPr>
            </w:pPr>
            <w:r w:rsidRPr="00A426F2">
              <w:rPr>
                <w:rFonts w:ascii="Arial Narrow" w:hAnsi="Arial Narrow" w:cs="Arial"/>
                <w:sz w:val="20"/>
                <w:szCs w:val="20"/>
              </w:rPr>
              <w:t>Los estudios de este postgrado oficial, por autorización de la autoridad laboral en la materia (Consejería de Empleo de la Junta de Andalucía en nuestro caso), habilitan para el ejercicio de la profesión de Técnico Superior en Prevención de Riesgos Laborales. Ello queda regulado en el R.D. 39/1997, conocido como Reglamento de los Servicios de Prevención, que en sus artículos 34 a 37. Concretamente, el artículo 34 recoge:</w:t>
            </w:r>
          </w:p>
          <w:p w:rsidR="00F805D0" w:rsidRDefault="00F805D0" w:rsidP="0091210F">
            <w:pPr>
              <w:autoSpaceDE w:val="0"/>
              <w:rPr>
                <w:rFonts w:eastAsia="SimSun"/>
                <w:b/>
                <w:bCs/>
              </w:rPr>
            </w:pPr>
          </w:p>
          <w:p w:rsidR="00F805D0" w:rsidRPr="00A426F2" w:rsidRDefault="00F805D0" w:rsidP="0091210F">
            <w:pPr>
              <w:autoSpaceDE w:val="0"/>
              <w:rPr>
                <w:rFonts w:ascii="Arial Narrow" w:eastAsia="SimSun" w:hAnsi="Arial Narrow"/>
                <w:b/>
                <w:bCs/>
                <w:i/>
                <w:iCs/>
                <w:sz w:val="20"/>
                <w:szCs w:val="20"/>
              </w:rPr>
            </w:pPr>
            <w:r w:rsidRPr="00A426F2">
              <w:rPr>
                <w:rFonts w:ascii="Arial Narrow" w:eastAsia="SimSun" w:hAnsi="Arial Narrow"/>
                <w:b/>
                <w:bCs/>
                <w:i/>
                <w:iCs/>
                <w:sz w:val="20"/>
                <w:szCs w:val="20"/>
              </w:rPr>
              <w:t>CAPÍTULO VI Funciones y niveles de cualificación</w:t>
            </w:r>
          </w:p>
          <w:p w:rsidR="00F805D0" w:rsidRPr="00A426F2" w:rsidRDefault="00F805D0" w:rsidP="0091210F">
            <w:pPr>
              <w:autoSpaceDE w:val="0"/>
              <w:rPr>
                <w:rFonts w:ascii="Arial Narrow" w:eastAsia="SimSun" w:hAnsi="Arial Narrow"/>
                <w:b/>
                <w:bCs/>
                <w:i/>
                <w:iCs/>
                <w:sz w:val="20"/>
                <w:szCs w:val="20"/>
              </w:rPr>
            </w:pPr>
            <w:r w:rsidRPr="00A426F2">
              <w:rPr>
                <w:rFonts w:ascii="Arial Narrow" w:eastAsia="SimSun" w:hAnsi="Arial Narrow"/>
                <w:b/>
                <w:bCs/>
                <w:i/>
                <w:iCs/>
                <w:sz w:val="20"/>
                <w:szCs w:val="20"/>
              </w:rPr>
              <w:t>Artículo 34: Clasificación de las funciones</w:t>
            </w:r>
          </w:p>
          <w:p w:rsidR="00F805D0" w:rsidRPr="00A426F2" w:rsidRDefault="00F805D0" w:rsidP="0091210F">
            <w:pPr>
              <w:autoSpaceDE w:val="0"/>
              <w:rPr>
                <w:rFonts w:ascii="Arial Narrow" w:eastAsia="SimSun" w:hAnsi="Arial Narrow"/>
                <w:i/>
                <w:iCs/>
                <w:sz w:val="20"/>
                <w:szCs w:val="20"/>
              </w:rPr>
            </w:pPr>
            <w:r w:rsidRPr="00A426F2">
              <w:rPr>
                <w:rFonts w:ascii="Arial Narrow" w:eastAsia="SimSun" w:hAnsi="Arial Narrow"/>
                <w:i/>
                <w:iCs/>
                <w:sz w:val="20"/>
                <w:szCs w:val="20"/>
              </w:rPr>
              <w:t>A efectos de determinación de las capacidades y aptitudes necesarias para la evaluación de los riesgos y el desarrollo de la actividad preventiva, las funciones a realizar se clasifican en los siguientes grupos:</w:t>
            </w:r>
          </w:p>
          <w:p w:rsidR="00F805D0" w:rsidRPr="00A426F2" w:rsidRDefault="00F805D0" w:rsidP="0091210F">
            <w:pPr>
              <w:autoSpaceDE w:val="0"/>
              <w:rPr>
                <w:rFonts w:ascii="Arial Narrow" w:eastAsia="SimSun" w:hAnsi="Arial Narrow"/>
                <w:i/>
                <w:iCs/>
                <w:sz w:val="20"/>
                <w:szCs w:val="20"/>
              </w:rPr>
            </w:pPr>
            <w:r w:rsidRPr="00A426F2">
              <w:rPr>
                <w:rFonts w:ascii="Arial Narrow" w:eastAsia="SimSun" w:hAnsi="Arial Narrow"/>
                <w:i/>
                <w:iCs/>
                <w:sz w:val="20"/>
                <w:szCs w:val="20"/>
              </w:rPr>
              <w:t>Funciones de nivel básico.</w:t>
            </w:r>
          </w:p>
          <w:p w:rsidR="00F805D0" w:rsidRPr="00A426F2" w:rsidRDefault="00F805D0" w:rsidP="0091210F">
            <w:pPr>
              <w:autoSpaceDE w:val="0"/>
              <w:rPr>
                <w:rFonts w:ascii="Arial Narrow" w:eastAsia="SimSun" w:hAnsi="Arial Narrow"/>
                <w:i/>
                <w:iCs/>
                <w:sz w:val="20"/>
                <w:szCs w:val="20"/>
              </w:rPr>
            </w:pPr>
            <w:r w:rsidRPr="00A426F2">
              <w:rPr>
                <w:rFonts w:ascii="Arial Narrow" w:eastAsia="SimSun" w:hAnsi="Arial Narrow"/>
                <w:i/>
                <w:iCs/>
                <w:sz w:val="20"/>
                <w:szCs w:val="20"/>
              </w:rPr>
              <w:t>Funciones de nivel intermedio.</w:t>
            </w:r>
          </w:p>
          <w:p w:rsidR="00F805D0" w:rsidRPr="00A426F2" w:rsidRDefault="00F805D0" w:rsidP="0091210F">
            <w:pPr>
              <w:autoSpaceDE w:val="0"/>
              <w:rPr>
                <w:rFonts w:ascii="Arial Narrow" w:eastAsia="SimSun" w:hAnsi="Arial Narrow"/>
                <w:i/>
                <w:iCs/>
                <w:sz w:val="20"/>
                <w:szCs w:val="20"/>
              </w:rPr>
            </w:pPr>
            <w:r w:rsidRPr="00A426F2">
              <w:rPr>
                <w:rFonts w:ascii="Arial Narrow" w:eastAsia="SimSun" w:hAnsi="Arial Narrow"/>
                <w:i/>
                <w:iCs/>
                <w:sz w:val="20"/>
                <w:szCs w:val="20"/>
              </w:rPr>
              <w:t>Funciones de nivel superior, correspondientes a las especialidades y disciplinas preventivas de medicina del trabajo, seguridad en el trabajo, higiene industrial, y ergonomía y psicosociología aplicada.</w:t>
            </w:r>
          </w:p>
          <w:p w:rsidR="00F805D0" w:rsidRPr="00A426F2" w:rsidRDefault="00F805D0" w:rsidP="0091210F">
            <w:pPr>
              <w:autoSpaceDE w:val="0"/>
              <w:rPr>
                <w:rFonts w:ascii="Arial Narrow" w:eastAsia="SimSun" w:hAnsi="Arial Narrow"/>
                <w:i/>
                <w:iCs/>
                <w:sz w:val="20"/>
                <w:szCs w:val="20"/>
              </w:rPr>
            </w:pPr>
            <w:r w:rsidRPr="00A426F2">
              <w:rPr>
                <w:rFonts w:ascii="Arial Narrow" w:eastAsia="SimSun" w:hAnsi="Arial Narrow"/>
                <w:i/>
                <w:iCs/>
                <w:sz w:val="20"/>
                <w:szCs w:val="20"/>
              </w:rPr>
              <w:t>Las funciones que se recogen en los artículos siguientes serán las que orienten los distintos proyectos y programas formativos desarrollados para cada nivel.</w:t>
            </w:r>
          </w:p>
          <w:p w:rsidR="00F805D0" w:rsidRPr="00A426F2" w:rsidRDefault="00F805D0" w:rsidP="0091210F">
            <w:pPr>
              <w:autoSpaceDE w:val="0"/>
              <w:rPr>
                <w:rFonts w:ascii="Arial Narrow" w:hAnsi="Arial Narrow" w:cs="Arial"/>
                <w:i/>
                <w:iCs/>
                <w:sz w:val="20"/>
                <w:szCs w:val="20"/>
              </w:rPr>
            </w:pPr>
            <w:r w:rsidRPr="00A426F2">
              <w:rPr>
                <w:rFonts w:ascii="Arial Narrow" w:eastAsia="SimSun" w:hAnsi="Arial Narrow"/>
                <w:i/>
                <w:iCs/>
                <w:sz w:val="20"/>
                <w:szCs w:val="20"/>
              </w:rPr>
              <w:t>Estos proyectos y programas deberán ajustarse a los criterios generales y a los contenidos formativos mínimos que se establecen para cada nivel en los Anexos III a VI.</w:t>
            </w:r>
            <w:r w:rsidRPr="00A426F2">
              <w:rPr>
                <w:rFonts w:ascii="Arial Narrow" w:hAnsi="Arial Narrow" w:cs="Arial"/>
                <w:i/>
                <w:iCs/>
                <w:sz w:val="20"/>
                <w:szCs w:val="20"/>
              </w:rPr>
              <w:t xml:space="preserve"> </w:t>
            </w:r>
          </w:p>
          <w:p w:rsidR="00F805D0" w:rsidRPr="00A426F2" w:rsidRDefault="00F805D0" w:rsidP="0091210F">
            <w:pPr>
              <w:spacing w:before="60"/>
              <w:ind w:firstLine="340"/>
              <w:rPr>
                <w:rFonts w:ascii="Arial Narrow" w:hAnsi="Arial Narrow" w:cs="Arial"/>
                <w:sz w:val="20"/>
                <w:szCs w:val="20"/>
              </w:rPr>
            </w:pPr>
          </w:p>
          <w:p w:rsidR="00F805D0" w:rsidRPr="00A426F2" w:rsidRDefault="00F805D0" w:rsidP="0091210F">
            <w:pPr>
              <w:spacing w:before="60"/>
              <w:ind w:firstLine="340"/>
              <w:rPr>
                <w:rFonts w:ascii="Arial Narrow" w:hAnsi="Arial Narrow" w:cs="Arial"/>
                <w:sz w:val="20"/>
                <w:szCs w:val="20"/>
              </w:rPr>
            </w:pPr>
            <w:r w:rsidRPr="00A426F2">
              <w:rPr>
                <w:rFonts w:ascii="Arial Narrow" w:hAnsi="Arial Narrow" w:cs="Arial"/>
                <w:sz w:val="20"/>
                <w:szCs w:val="20"/>
              </w:rPr>
              <w:t>Posteriormente en el RD, el artículo 37 indica:</w:t>
            </w:r>
          </w:p>
          <w:p w:rsidR="00F805D0" w:rsidRPr="00A426F2" w:rsidRDefault="00F805D0" w:rsidP="0091210F">
            <w:pPr>
              <w:autoSpaceDE w:val="0"/>
              <w:rPr>
                <w:rFonts w:ascii="Arial Narrow" w:eastAsia="SimSun" w:hAnsi="Arial Narrow"/>
                <w:b/>
                <w:bCs/>
                <w:i/>
                <w:iCs/>
                <w:color w:val="000000"/>
                <w:sz w:val="20"/>
                <w:szCs w:val="20"/>
              </w:rPr>
            </w:pPr>
            <w:r w:rsidRPr="00A426F2">
              <w:rPr>
                <w:rFonts w:ascii="Arial Narrow" w:eastAsia="SimSun" w:hAnsi="Arial Narrow"/>
                <w:b/>
                <w:bCs/>
                <w:i/>
                <w:iCs/>
                <w:color w:val="000000"/>
                <w:sz w:val="20"/>
                <w:szCs w:val="20"/>
              </w:rPr>
              <w:t>Artículo 37: Funciones de nivel superior</w:t>
            </w:r>
          </w:p>
          <w:p w:rsidR="00F805D0" w:rsidRPr="00A426F2" w:rsidRDefault="00F805D0" w:rsidP="0091210F">
            <w:pPr>
              <w:autoSpaceDE w:val="0"/>
              <w:rPr>
                <w:rFonts w:ascii="Arial Narrow" w:eastAsia="SimSun" w:hAnsi="Arial Narrow"/>
                <w:i/>
                <w:iCs/>
                <w:color w:val="000000"/>
                <w:sz w:val="20"/>
                <w:szCs w:val="20"/>
              </w:rPr>
            </w:pPr>
            <w:r w:rsidRPr="00A426F2">
              <w:rPr>
                <w:rFonts w:ascii="Arial Narrow" w:eastAsia="SimSun" w:hAnsi="Arial Narrow"/>
                <w:i/>
                <w:iCs/>
                <w:color w:val="000000"/>
                <w:sz w:val="20"/>
                <w:szCs w:val="20"/>
              </w:rPr>
              <w:t>1. Las funciones correspondientes al nivel superior son las siguientes:</w:t>
            </w:r>
          </w:p>
          <w:p w:rsidR="00F805D0" w:rsidRPr="00A426F2" w:rsidRDefault="00F805D0" w:rsidP="0091210F">
            <w:pPr>
              <w:autoSpaceDE w:val="0"/>
              <w:ind w:left="708"/>
              <w:rPr>
                <w:rFonts w:ascii="Arial Narrow" w:eastAsia="SimSun" w:hAnsi="Arial Narrow"/>
                <w:i/>
                <w:iCs/>
                <w:color w:val="000000"/>
                <w:sz w:val="20"/>
                <w:szCs w:val="20"/>
              </w:rPr>
            </w:pPr>
            <w:r w:rsidRPr="00A426F2">
              <w:rPr>
                <w:rFonts w:ascii="Arial Narrow" w:eastAsia="SimSun" w:hAnsi="Arial Narrow"/>
                <w:i/>
                <w:iCs/>
                <w:color w:val="000000"/>
                <w:sz w:val="20"/>
                <w:szCs w:val="20"/>
              </w:rPr>
              <w:t>a. Las funciones señaladas en el apartado 1 del artículo anterior, con excepción de la indicada en la letra h).</w:t>
            </w:r>
          </w:p>
          <w:p w:rsidR="00F805D0" w:rsidRPr="00A426F2" w:rsidRDefault="00F805D0" w:rsidP="0091210F">
            <w:pPr>
              <w:autoSpaceDE w:val="0"/>
              <w:ind w:left="708"/>
              <w:rPr>
                <w:rFonts w:ascii="Arial Narrow" w:eastAsia="SimSun" w:hAnsi="Arial Narrow"/>
                <w:i/>
                <w:iCs/>
                <w:color w:val="000000"/>
                <w:sz w:val="20"/>
                <w:szCs w:val="20"/>
              </w:rPr>
            </w:pPr>
            <w:r w:rsidRPr="00A426F2">
              <w:rPr>
                <w:rFonts w:ascii="Arial Narrow" w:eastAsia="SimSun" w:hAnsi="Arial Narrow"/>
                <w:i/>
                <w:iCs/>
                <w:color w:val="000000"/>
                <w:sz w:val="20"/>
                <w:szCs w:val="20"/>
              </w:rPr>
              <w:t>b. La realización de aquellas evaluaciones de riesgos cuyo desarrollo exija:</w:t>
            </w:r>
          </w:p>
          <w:p w:rsidR="00F805D0" w:rsidRPr="00A426F2" w:rsidRDefault="00F805D0" w:rsidP="0091210F">
            <w:pPr>
              <w:autoSpaceDE w:val="0"/>
              <w:ind w:left="1416"/>
              <w:rPr>
                <w:rFonts w:ascii="Arial Narrow" w:eastAsia="SimSun" w:hAnsi="Arial Narrow"/>
                <w:i/>
                <w:iCs/>
                <w:color w:val="000000"/>
                <w:sz w:val="20"/>
                <w:szCs w:val="20"/>
              </w:rPr>
            </w:pPr>
            <w:r w:rsidRPr="00A426F2">
              <w:rPr>
                <w:rFonts w:ascii="Arial Narrow" w:eastAsia="SimSun" w:hAnsi="Arial Narrow"/>
                <w:i/>
                <w:iCs/>
                <w:color w:val="000000"/>
                <w:sz w:val="20"/>
                <w:szCs w:val="20"/>
              </w:rPr>
              <w:t>1. el establecimiento de una estrategia de medición para asegurar que los resultados obtenidos caracterizan efectivamente la situación que se valora, o</w:t>
            </w:r>
          </w:p>
          <w:p w:rsidR="00F805D0" w:rsidRPr="00A426F2" w:rsidRDefault="00F805D0" w:rsidP="0091210F">
            <w:pPr>
              <w:autoSpaceDE w:val="0"/>
              <w:ind w:left="1416"/>
              <w:rPr>
                <w:rFonts w:ascii="Arial Narrow" w:eastAsia="SimSun" w:hAnsi="Arial Narrow"/>
                <w:i/>
                <w:iCs/>
                <w:color w:val="000000"/>
                <w:sz w:val="20"/>
                <w:szCs w:val="20"/>
              </w:rPr>
            </w:pPr>
            <w:r w:rsidRPr="00A426F2">
              <w:rPr>
                <w:rFonts w:ascii="Arial Narrow" w:eastAsia="SimSun" w:hAnsi="Arial Narrow"/>
                <w:i/>
                <w:iCs/>
                <w:color w:val="000000"/>
                <w:sz w:val="20"/>
                <w:szCs w:val="20"/>
              </w:rPr>
              <w:t>2. una interpretación o aplicación no mecánica de los criterios de evaluación.</w:t>
            </w:r>
          </w:p>
          <w:p w:rsidR="00F805D0" w:rsidRPr="00A426F2" w:rsidRDefault="00F805D0" w:rsidP="0091210F">
            <w:pPr>
              <w:autoSpaceDE w:val="0"/>
              <w:ind w:left="708"/>
              <w:rPr>
                <w:rFonts w:ascii="Arial Narrow" w:eastAsia="SimSun" w:hAnsi="Arial Narrow"/>
                <w:i/>
                <w:iCs/>
                <w:color w:val="000000"/>
                <w:sz w:val="20"/>
                <w:szCs w:val="20"/>
              </w:rPr>
            </w:pPr>
            <w:r w:rsidRPr="00A426F2">
              <w:rPr>
                <w:rFonts w:ascii="Arial Narrow" w:eastAsia="SimSun" w:hAnsi="Arial Narrow"/>
                <w:i/>
                <w:iCs/>
                <w:color w:val="000000"/>
                <w:sz w:val="20"/>
                <w:szCs w:val="20"/>
              </w:rPr>
              <w:t>c. La formación e información de carácter general, a todos los niveles, y en las materias propias de su área de especialización.</w:t>
            </w:r>
          </w:p>
          <w:p w:rsidR="00F805D0" w:rsidRPr="00A426F2" w:rsidRDefault="00F805D0" w:rsidP="0091210F">
            <w:pPr>
              <w:autoSpaceDE w:val="0"/>
              <w:ind w:left="708"/>
              <w:rPr>
                <w:rFonts w:ascii="Arial Narrow" w:eastAsia="SimSun" w:hAnsi="Arial Narrow"/>
                <w:i/>
                <w:iCs/>
                <w:color w:val="000000"/>
                <w:sz w:val="20"/>
                <w:szCs w:val="20"/>
              </w:rPr>
            </w:pPr>
            <w:r w:rsidRPr="00A426F2">
              <w:rPr>
                <w:rFonts w:ascii="Arial Narrow" w:eastAsia="SimSun" w:hAnsi="Arial Narrow"/>
                <w:i/>
                <w:iCs/>
                <w:color w:val="000000"/>
                <w:sz w:val="20"/>
                <w:szCs w:val="20"/>
              </w:rPr>
              <w:t>d. La planificación de la acción preventiva a desarrollar en las situaciones en las que el control o reducción de los riesgos supone la realización de actividades diferentes, que implican la intervención de distintos especialistas.</w:t>
            </w:r>
          </w:p>
          <w:p w:rsidR="00F805D0" w:rsidRPr="00A426F2" w:rsidRDefault="00F805D0" w:rsidP="0091210F">
            <w:pPr>
              <w:autoSpaceDE w:val="0"/>
              <w:ind w:left="708"/>
              <w:rPr>
                <w:rFonts w:ascii="Arial Narrow" w:eastAsia="SimSun" w:hAnsi="Arial Narrow"/>
                <w:i/>
                <w:iCs/>
                <w:color w:val="000000"/>
                <w:sz w:val="20"/>
                <w:szCs w:val="20"/>
              </w:rPr>
            </w:pPr>
            <w:r w:rsidRPr="00A426F2">
              <w:rPr>
                <w:rFonts w:ascii="Arial Narrow" w:eastAsia="SimSun" w:hAnsi="Arial Narrow"/>
                <w:i/>
                <w:iCs/>
                <w:color w:val="000000"/>
                <w:sz w:val="20"/>
                <w:szCs w:val="20"/>
              </w:rPr>
              <w:t>e. La vigilancia y control de la salud de los trabajadores en los términos señalados en el apartado 3 de este artículo.</w:t>
            </w:r>
          </w:p>
          <w:p w:rsidR="00F805D0" w:rsidRPr="00A426F2" w:rsidRDefault="00F805D0" w:rsidP="0091210F">
            <w:pPr>
              <w:autoSpaceDE w:val="0"/>
              <w:rPr>
                <w:rFonts w:ascii="Arial Narrow" w:eastAsia="SimSun" w:hAnsi="Arial Narrow"/>
                <w:i/>
                <w:iCs/>
                <w:color w:val="000000"/>
                <w:sz w:val="20"/>
                <w:szCs w:val="20"/>
              </w:rPr>
            </w:pPr>
            <w:r w:rsidRPr="00A426F2">
              <w:rPr>
                <w:rFonts w:ascii="Arial Narrow" w:eastAsia="SimSun" w:hAnsi="Arial Narrow"/>
                <w:i/>
                <w:iCs/>
                <w:color w:val="000000"/>
                <w:sz w:val="20"/>
                <w:szCs w:val="20"/>
              </w:rPr>
              <w:t>2. Para desempeñar las funciones relacionadas en el apartado anterior será preciso contar con una titulación universitaria y poseer una formación mínima con el contenido especificado en el programa a que se refiere el Anexo VI y cuyo desarrollo tendrá una duración no inferior a 600 horas y una distribución horaria adecuada a cada proyecto formativo, respetando la establecida en el anexo citado.</w:t>
            </w:r>
          </w:p>
          <w:p w:rsidR="00F805D0" w:rsidRPr="00A426F2" w:rsidRDefault="00F805D0" w:rsidP="0091210F">
            <w:pPr>
              <w:spacing w:before="60"/>
              <w:ind w:firstLine="340"/>
              <w:rPr>
                <w:rFonts w:ascii="Arial Narrow" w:hAnsi="Arial Narrow" w:cs="Arial"/>
                <w:sz w:val="20"/>
                <w:szCs w:val="20"/>
              </w:rPr>
            </w:pPr>
          </w:p>
          <w:p w:rsidR="00F805D0" w:rsidRPr="00A426F2" w:rsidRDefault="00F805D0" w:rsidP="0091210F">
            <w:pPr>
              <w:spacing w:before="60"/>
              <w:rPr>
                <w:rFonts w:ascii="Arial Narrow" w:hAnsi="Arial Narrow" w:cs="Arial"/>
                <w:sz w:val="20"/>
                <w:szCs w:val="20"/>
              </w:rPr>
            </w:pPr>
            <w:r w:rsidRPr="00A426F2">
              <w:rPr>
                <w:rFonts w:ascii="Arial Narrow" w:hAnsi="Arial Narrow" w:cs="Arial"/>
                <w:sz w:val="20"/>
                <w:szCs w:val="20"/>
              </w:rPr>
              <w:t>El anexo VI del RD que se menciona es el que recoge el contenido formativo mínimo que debe contener el programa académico del postgrado.</w:t>
            </w:r>
          </w:p>
          <w:p w:rsidR="00F805D0" w:rsidRDefault="00206BD1" w:rsidP="0091210F">
            <w:pPr>
              <w:spacing w:before="60"/>
              <w:rPr>
                <w:rFonts w:ascii="Arial Narrow" w:hAnsi="Arial Narrow" w:cs="Arial"/>
                <w:sz w:val="20"/>
                <w:szCs w:val="20"/>
              </w:rPr>
            </w:pPr>
            <w:r>
              <w:rPr>
                <w:rFonts w:ascii="Arial Narrow" w:hAnsi="Arial Narrow" w:cs="Arial"/>
                <w:sz w:val="20"/>
                <w:szCs w:val="20"/>
              </w:rPr>
              <w:lastRenderedPageBreak/>
              <w:t>OBJETIVOS:</w:t>
            </w:r>
          </w:p>
        </w:tc>
        <w:bookmarkStart w:id="0" w:name="_GoBack"/>
        <w:bookmarkEnd w:id="0"/>
      </w:tr>
    </w:tbl>
    <w:p w:rsidR="00F805D0" w:rsidRDefault="00F805D0" w:rsidP="00F805D0">
      <w:pPr>
        <w:spacing w:before="60"/>
        <w:jc w:val="both"/>
        <w:rPr>
          <w:rFonts w:ascii="Arial Narrow" w:hAnsi="Arial Narrow"/>
          <w:sz w:val="20"/>
          <w:szCs w:val="20"/>
        </w:rPr>
      </w:pPr>
    </w:p>
    <w:tbl>
      <w:tblPr>
        <w:tblW w:w="9810" w:type="dxa"/>
        <w:tblInd w:w="-20" w:type="dxa"/>
        <w:tblLayout w:type="fixed"/>
        <w:tblCellMar>
          <w:top w:w="28" w:type="dxa"/>
          <w:bottom w:w="28" w:type="dxa"/>
        </w:tblCellMar>
        <w:tblLook w:val="0000" w:firstRow="0" w:lastRow="0" w:firstColumn="0" w:lastColumn="0" w:noHBand="0" w:noVBand="0"/>
      </w:tblPr>
      <w:tblGrid>
        <w:gridCol w:w="9810"/>
      </w:tblGrid>
      <w:tr w:rsidR="00F805D0" w:rsidTr="00206BD1">
        <w:tc>
          <w:tcPr>
            <w:tcW w:w="9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cMar>
              <w:top w:w="0" w:type="dxa"/>
              <w:bottom w:w="0" w:type="dxa"/>
            </w:tcMar>
          </w:tcPr>
          <w:p w:rsidR="00F805D0" w:rsidRDefault="00F805D0" w:rsidP="0091210F">
            <w:pPr>
              <w:snapToGrid w:val="0"/>
              <w:spacing w:before="60"/>
              <w:jc w:val="both"/>
              <w:rPr>
                <w:rFonts w:ascii="Arial Narrow" w:hAnsi="Arial Narrow" w:cs="Arial"/>
                <w:sz w:val="20"/>
                <w:szCs w:val="20"/>
              </w:rPr>
            </w:pPr>
            <w:r>
              <w:rPr>
                <w:rFonts w:ascii="Arial Narrow" w:hAnsi="Arial Narrow" w:cs="Arial"/>
                <w:sz w:val="20"/>
                <w:szCs w:val="20"/>
              </w:rPr>
              <w:t>El objetivo fundamental del presente título de Máster en Prevención de Riesgos Laborales es el de conferir a los estudiantes que lo cursen las competencias que exige el Reglamento de los Servicios de Prevención (R.D. 39/1997) para el desempeño de la función de Técnico Superior de Prevención de Riesgos Laborales.</w:t>
            </w:r>
          </w:p>
          <w:p w:rsidR="00F805D0" w:rsidRDefault="00F805D0" w:rsidP="0091210F">
            <w:pPr>
              <w:snapToGrid w:val="0"/>
              <w:spacing w:before="60"/>
              <w:jc w:val="both"/>
            </w:pPr>
          </w:p>
          <w:p w:rsidR="00F805D0" w:rsidRDefault="00F805D0" w:rsidP="00F805D0">
            <w:pPr>
              <w:numPr>
                <w:ilvl w:val="0"/>
                <w:numId w:val="2"/>
              </w:numPr>
              <w:tabs>
                <w:tab w:val="clear" w:pos="720"/>
                <w:tab w:val="num" w:pos="360"/>
              </w:tabs>
              <w:snapToGrid w:val="0"/>
              <w:spacing w:before="60"/>
              <w:jc w:val="both"/>
              <w:rPr>
                <w:rFonts w:ascii="Arial Narrow" w:hAnsi="Arial Narrow" w:cs="Arial"/>
                <w:sz w:val="20"/>
                <w:szCs w:val="20"/>
              </w:rPr>
            </w:pPr>
            <w:r>
              <w:rPr>
                <w:rFonts w:ascii="Arial Narrow" w:hAnsi="Arial Narrow" w:cs="Arial"/>
                <w:sz w:val="20"/>
                <w:szCs w:val="20"/>
              </w:rPr>
              <w:t>Promover con carácter general la prevención en el</w:t>
            </w:r>
            <w:r w:rsidR="00206BD1">
              <w:rPr>
                <w:rFonts w:ascii="Arial Narrow" w:hAnsi="Arial Narrow" w:cs="Arial"/>
                <w:sz w:val="20"/>
                <w:szCs w:val="20"/>
              </w:rPr>
              <w:t xml:space="preserve"> </w:t>
            </w:r>
            <w:r>
              <w:rPr>
                <w:rFonts w:ascii="Arial Narrow" w:hAnsi="Arial Narrow" w:cs="Arial"/>
                <w:sz w:val="20"/>
                <w:szCs w:val="20"/>
              </w:rPr>
              <w:t>empresa.</w:t>
            </w:r>
          </w:p>
          <w:p w:rsidR="00F805D0" w:rsidRDefault="00F805D0" w:rsidP="00F805D0">
            <w:pPr>
              <w:numPr>
                <w:ilvl w:val="0"/>
                <w:numId w:val="2"/>
              </w:numPr>
              <w:tabs>
                <w:tab w:val="clear" w:pos="720"/>
                <w:tab w:val="num" w:pos="360"/>
              </w:tabs>
              <w:snapToGrid w:val="0"/>
              <w:spacing w:before="60"/>
              <w:jc w:val="both"/>
              <w:rPr>
                <w:rFonts w:ascii="Arial Narrow" w:hAnsi="Arial Narrow" w:cs="Arial"/>
                <w:sz w:val="20"/>
                <w:szCs w:val="20"/>
              </w:rPr>
            </w:pPr>
            <w:r>
              <w:rPr>
                <w:rFonts w:ascii="Arial Narrow" w:hAnsi="Arial Narrow" w:cs="Arial"/>
                <w:sz w:val="20"/>
                <w:szCs w:val="20"/>
              </w:rPr>
              <w:t>Proponer medidas para el control y reducción de los riesgos.</w:t>
            </w:r>
          </w:p>
          <w:p w:rsidR="00F805D0" w:rsidRDefault="00F805D0" w:rsidP="00F805D0">
            <w:pPr>
              <w:numPr>
                <w:ilvl w:val="0"/>
                <w:numId w:val="2"/>
              </w:numPr>
              <w:tabs>
                <w:tab w:val="clear" w:pos="720"/>
                <w:tab w:val="num" w:pos="360"/>
              </w:tabs>
              <w:snapToGrid w:val="0"/>
              <w:spacing w:before="60"/>
              <w:jc w:val="both"/>
              <w:rPr>
                <w:rFonts w:ascii="Arial Narrow" w:hAnsi="Arial Narrow" w:cs="Arial"/>
                <w:sz w:val="20"/>
                <w:szCs w:val="20"/>
              </w:rPr>
            </w:pPr>
            <w:r>
              <w:rPr>
                <w:rFonts w:ascii="Arial Narrow" w:hAnsi="Arial Narrow" w:cs="Arial"/>
                <w:sz w:val="20"/>
                <w:szCs w:val="20"/>
              </w:rPr>
              <w:t>Realizar actividades de información y formación básica de los trabajadores.</w:t>
            </w:r>
          </w:p>
          <w:p w:rsidR="00F805D0" w:rsidRDefault="00F805D0" w:rsidP="00F805D0">
            <w:pPr>
              <w:numPr>
                <w:ilvl w:val="0"/>
                <w:numId w:val="2"/>
              </w:numPr>
              <w:tabs>
                <w:tab w:val="clear" w:pos="720"/>
                <w:tab w:val="num" w:pos="360"/>
              </w:tabs>
              <w:snapToGrid w:val="0"/>
              <w:spacing w:before="60"/>
              <w:jc w:val="both"/>
              <w:rPr>
                <w:rFonts w:ascii="Arial Narrow" w:hAnsi="Arial Narrow" w:cs="Arial"/>
                <w:sz w:val="20"/>
                <w:szCs w:val="20"/>
              </w:rPr>
            </w:pPr>
            <w:r>
              <w:rPr>
                <w:rFonts w:ascii="Arial Narrow" w:hAnsi="Arial Narrow" w:cs="Arial"/>
                <w:sz w:val="20"/>
                <w:szCs w:val="20"/>
              </w:rPr>
              <w:t>Vigilar el cumplimiento del programa de control y reducción de riesgos y efectuar personalmente las actividades de control de la condiciones de trabajo que tenga asignadas.</w:t>
            </w:r>
          </w:p>
          <w:p w:rsidR="00F805D0" w:rsidRDefault="00F805D0" w:rsidP="00F805D0">
            <w:pPr>
              <w:numPr>
                <w:ilvl w:val="0"/>
                <w:numId w:val="2"/>
              </w:numPr>
              <w:tabs>
                <w:tab w:val="clear" w:pos="720"/>
                <w:tab w:val="num" w:pos="360"/>
              </w:tabs>
              <w:snapToGrid w:val="0"/>
              <w:spacing w:before="60"/>
              <w:jc w:val="both"/>
              <w:rPr>
                <w:rFonts w:ascii="Arial Narrow" w:hAnsi="Arial Narrow" w:cs="Arial"/>
                <w:sz w:val="20"/>
                <w:szCs w:val="20"/>
              </w:rPr>
            </w:pPr>
            <w:r>
              <w:rPr>
                <w:rFonts w:ascii="Arial Narrow" w:hAnsi="Arial Narrow" w:cs="Arial"/>
                <w:sz w:val="20"/>
                <w:szCs w:val="20"/>
              </w:rPr>
              <w:t>Participar en la planificación de la actividad preventiva y dirigir las actuaciones a desarrollar en caso de emergencia y primeros auxilios.</w:t>
            </w:r>
          </w:p>
          <w:p w:rsidR="00F805D0" w:rsidRDefault="00F805D0" w:rsidP="00F805D0">
            <w:pPr>
              <w:numPr>
                <w:ilvl w:val="0"/>
                <w:numId w:val="2"/>
              </w:numPr>
              <w:tabs>
                <w:tab w:val="clear" w:pos="720"/>
                <w:tab w:val="num" w:pos="360"/>
              </w:tabs>
              <w:snapToGrid w:val="0"/>
              <w:spacing w:before="60"/>
              <w:jc w:val="both"/>
              <w:rPr>
                <w:rFonts w:ascii="Arial Narrow" w:hAnsi="Arial Narrow" w:cs="Arial"/>
                <w:sz w:val="20"/>
                <w:szCs w:val="20"/>
              </w:rPr>
            </w:pPr>
            <w:r>
              <w:rPr>
                <w:rFonts w:ascii="Arial Narrow" w:hAnsi="Arial Narrow" w:cs="Arial"/>
                <w:sz w:val="20"/>
                <w:szCs w:val="20"/>
              </w:rPr>
              <w:t>Colaborar con los servicios de prevención en su caso.</w:t>
            </w:r>
          </w:p>
          <w:p w:rsidR="00F805D0" w:rsidRDefault="00F805D0" w:rsidP="00F805D0">
            <w:pPr>
              <w:numPr>
                <w:ilvl w:val="0"/>
                <w:numId w:val="2"/>
              </w:numPr>
              <w:tabs>
                <w:tab w:val="clear" w:pos="720"/>
                <w:tab w:val="num" w:pos="360"/>
              </w:tabs>
              <w:snapToGrid w:val="0"/>
              <w:spacing w:before="60"/>
              <w:jc w:val="both"/>
              <w:rPr>
                <w:rFonts w:ascii="Arial Narrow" w:hAnsi="Arial Narrow" w:cs="Arial"/>
                <w:sz w:val="20"/>
                <w:szCs w:val="20"/>
              </w:rPr>
            </w:pPr>
            <w:r>
              <w:rPr>
                <w:rFonts w:ascii="Arial Narrow" w:hAnsi="Arial Narrow" w:cs="Arial"/>
                <w:sz w:val="20"/>
                <w:szCs w:val="20"/>
              </w:rPr>
              <w:t>Realizar evaluaciones de riesgos cuyo desarrollo exija:</w:t>
            </w:r>
          </w:p>
          <w:p w:rsidR="00F805D0" w:rsidRDefault="00F805D0" w:rsidP="00F805D0">
            <w:pPr>
              <w:numPr>
                <w:ilvl w:val="0"/>
                <w:numId w:val="3"/>
              </w:numPr>
              <w:snapToGrid w:val="0"/>
              <w:spacing w:before="60"/>
              <w:jc w:val="both"/>
              <w:rPr>
                <w:rFonts w:ascii="Arial Narrow" w:hAnsi="Arial Narrow" w:cs="Arial"/>
                <w:sz w:val="20"/>
                <w:szCs w:val="20"/>
              </w:rPr>
            </w:pPr>
            <w:r>
              <w:rPr>
                <w:rFonts w:ascii="Arial Narrow" w:hAnsi="Arial Narrow" w:cs="Arial"/>
                <w:sz w:val="20"/>
                <w:szCs w:val="20"/>
              </w:rPr>
              <w:t>El establecimiento de una estrategia de medición para asegurar que los resultados obtenidos caracterizan efectivamente la situación que se valora o</w:t>
            </w:r>
          </w:p>
          <w:p w:rsidR="00F805D0" w:rsidRDefault="00F805D0" w:rsidP="00F805D0">
            <w:pPr>
              <w:numPr>
                <w:ilvl w:val="0"/>
                <w:numId w:val="4"/>
              </w:numPr>
              <w:snapToGrid w:val="0"/>
              <w:spacing w:before="60"/>
              <w:jc w:val="both"/>
              <w:rPr>
                <w:rFonts w:ascii="Arial Narrow" w:hAnsi="Arial Narrow" w:cs="Arial"/>
                <w:sz w:val="20"/>
                <w:szCs w:val="20"/>
              </w:rPr>
            </w:pPr>
            <w:r>
              <w:rPr>
                <w:rFonts w:ascii="Arial Narrow" w:hAnsi="Arial Narrow" w:cs="Arial"/>
                <w:sz w:val="20"/>
                <w:szCs w:val="20"/>
              </w:rPr>
              <w:t>Una interpretación o aplicación no mecánica de los criterios de evaluación.</w:t>
            </w:r>
          </w:p>
          <w:p w:rsidR="00F805D0" w:rsidRDefault="00F805D0" w:rsidP="00F805D0">
            <w:pPr>
              <w:numPr>
                <w:ilvl w:val="0"/>
                <w:numId w:val="2"/>
              </w:numPr>
              <w:tabs>
                <w:tab w:val="clear" w:pos="720"/>
                <w:tab w:val="num" w:pos="360"/>
              </w:tabs>
              <w:snapToGrid w:val="0"/>
              <w:spacing w:before="60"/>
              <w:ind w:left="708"/>
              <w:jc w:val="both"/>
              <w:rPr>
                <w:rFonts w:ascii="Arial Narrow" w:hAnsi="Arial Narrow" w:cs="Arial"/>
                <w:sz w:val="20"/>
                <w:szCs w:val="20"/>
              </w:rPr>
            </w:pPr>
            <w:r>
              <w:rPr>
                <w:rFonts w:ascii="Arial Narrow" w:hAnsi="Arial Narrow" w:cs="Arial"/>
                <w:sz w:val="20"/>
                <w:szCs w:val="20"/>
              </w:rPr>
              <w:t>Formación e información de carácter general a todos los niveles, y en las materias propias de su área de especialización.</w:t>
            </w:r>
          </w:p>
          <w:p w:rsidR="00F805D0" w:rsidRDefault="00F805D0" w:rsidP="00F805D0">
            <w:pPr>
              <w:numPr>
                <w:ilvl w:val="0"/>
                <w:numId w:val="2"/>
              </w:numPr>
              <w:tabs>
                <w:tab w:val="clear" w:pos="720"/>
                <w:tab w:val="num" w:pos="360"/>
              </w:tabs>
              <w:snapToGrid w:val="0"/>
              <w:spacing w:before="60"/>
              <w:ind w:left="708"/>
              <w:jc w:val="both"/>
              <w:rPr>
                <w:rFonts w:ascii="Arial Narrow" w:hAnsi="Arial Narrow" w:cs="Arial"/>
                <w:sz w:val="20"/>
                <w:szCs w:val="20"/>
              </w:rPr>
            </w:pPr>
            <w:r>
              <w:rPr>
                <w:rFonts w:ascii="Arial Narrow" w:hAnsi="Arial Narrow" w:cs="Arial"/>
                <w:sz w:val="20"/>
                <w:szCs w:val="20"/>
              </w:rPr>
              <w:t>Planificación de la acción preventiva a desarrollar en las situaciones en las que el control o reducción de los riesgos supone la realización de actividades diferentes, que implican la intervención de distintos especialistas.</w:t>
            </w:r>
          </w:p>
          <w:p w:rsidR="00F805D0" w:rsidRDefault="00F805D0" w:rsidP="00F805D0">
            <w:pPr>
              <w:numPr>
                <w:ilvl w:val="0"/>
                <w:numId w:val="2"/>
              </w:numPr>
              <w:tabs>
                <w:tab w:val="clear" w:pos="720"/>
                <w:tab w:val="num" w:pos="360"/>
              </w:tabs>
              <w:snapToGrid w:val="0"/>
              <w:spacing w:before="60"/>
              <w:ind w:left="708"/>
              <w:jc w:val="both"/>
              <w:rPr>
                <w:rFonts w:ascii="Arial Narrow" w:hAnsi="Arial Narrow" w:cs="Arial"/>
                <w:sz w:val="20"/>
                <w:szCs w:val="20"/>
              </w:rPr>
            </w:pPr>
            <w:r>
              <w:rPr>
                <w:rFonts w:ascii="Arial Narrow" w:hAnsi="Arial Narrow" w:cs="Arial"/>
                <w:sz w:val="20"/>
                <w:szCs w:val="20"/>
              </w:rPr>
              <w:t>Vigilancia de la salud de los trabajadores en los términos que determina el RD.</w:t>
            </w:r>
          </w:p>
          <w:p w:rsidR="00F805D0" w:rsidRDefault="00F805D0" w:rsidP="0091210F">
            <w:pPr>
              <w:snapToGrid w:val="0"/>
              <w:spacing w:before="60"/>
              <w:jc w:val="both"/>
            </w:pPr>
          </w:p>
          <w:p w:rsidR="00F805D0" w:rsidRDefault="00F805D0" w:rsidP="0091210F">
            <w:pPr>
              <w:snapToGrid w:val="0"/>
              <w:spacing w:before="60"/>
              <w:jc w:val="both"/>
              <w:rPr>
                <w:rFonts w:ascii="Arial Narrow" w:hAnsi="Arial Narrow" w:cs="Arial"/>
                <w:sz w:val="20"/>
                <w:szCs w:val="20"/>
              </w:rPr>
            </w:pPr>
            <w:r>
              <w:rPr>
                <w:rFonts w:ascii="Arial Narrow" w:hAnsi="Arial Narrow" w:cs="Arial"/>
                <w:sz w:val="20"/>
                <w:szCs w:val="20"/>
              </w:rPr>
              <w:t>Se tendrán en cuenta el respeto y promoción de los derechos fundamentales y de igualdad entre hombres y mujeres (Ley 3/07), la igualdad de oportunidades, la no discriminación de personas con discapacidad (Ley 51/03) y la cultura de paz y de valores democráticos (Ley 27/05).</w:t>
            </w:r>
          </w:p>
          <w:p w:rsidR="00F805D0" w:rsidRDefault="00F805D0" w:rsidP="0091210F">
            <w:pPr>
              <w:suppressAutoHyphens w:val="0"/>
              <w:jc w:val="both"/>
              <w:rPr>
                <w:rFonts w:ascii="Arial Narrow" w:hAnsi="Arial Narrow" w:cs="Arial"/>
                <w:sz w:val="20"/>
                <w:szCs w:val="20"/>
              </w:rPr>
            </w:pPr>
          </w:p>
        </w:tc>
      </w:tr>
    </w:tbl>
    <w:p w:rsidR="00F805D0" w:rsidRDefault="00F805D0" w:rsidP="00F805D0">
      <w:pPr>
        <w:spacing w:before="60"/>
        <w:jc w:val="both"/>
        <w:rPr>
          <w:rFonts w:ascii="Arial Narrow" w:hAnsi="Arial Narrow"/>
          <w:sz w:val="20"/>
          <w:szCs w:val="20"/>
        </w:rPr>
      </w:pPr>
    </w:p>
    <w:p w:rsidR="00F805D0" w:rsidRPr="00F805D0" w:rsidRDefault="00F805D0" w:rsidP="00F805D0">
      <w:pPr>
        <w:spacing w:before="60"/>
        <w:jc w:val="both"/>
        <w:rPr>
          <w:rFonts w:ascii="Arial Narrow" w:hAnsi="Arial Narrow"/>
          <w:sz w:val="20"/>
          <w:szCs w:val="20"/>
        </w:rPr>
      </w:pPr>
    </w:p>
    <w:p w:rsidR="00705D30" w:rsidRDefault="00705D30"/>
    <w:sectPr w:rsidR="00705D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000000B"/>
    <w:multiLevelType w:val="singleLevel"/>
    <w:tmpl w:val="0000000B"/>
    <w:name w:val="WW8Num39"/>
    <w:lvl w:ilvl="0">
      <w:start w:val="1"/>
      <w:numFmt w:val="decimal"/>
      <w:lvlText w:val="%1."/>
      <w:lvlJc w:val="left"/>
      <w:pPr>
        <w:tabs>
          <w:tab w:val="num" w:pos="720"/>
        </w:tabs>
        <w:ind w:left="720" w:hanging="360"/>
      </w:pPr>
    </w:lvl>
  </w:abstractNum>
  <w:abstractNum w:abstractNumId="2" w15:restartNumberingAfterBreak="0">
    <w:nsid w:val="53D43798"/>
    <w:multiLevelType w:val="hybridMultilevel"/>
    <w:tmpl w:val="11E842D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69DD15A9"/>
    <w:multiLevelType w:val="hybridMultilevel"/>
    <w:tmpl w:val="7ACC658A"/>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D0"/>
    <w:rsid w:val="00206BD1"/>
    <w:rsid w:val="00582EEC"/>
    <w:rsid w:val="00705D30"/>
    <w:rsid w:val="0091210F"/>
    <w:rsid w:val="00F8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2F89"/>
  <w15:chartTrackingRefBased/>
  <w15:docId w15:val="{1D6B5967-95AD-41B9-888D-FC3BCBD9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5D0"/>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0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5AC7325A.dotm</Template>
  <TotalTime>0</TotalTime>
  <Pages>2</Pages>
  <Words>938</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Cubero</dc:creator>
  <cp:keywords/>
  <dc:description/>
  <cp:lastModifiedBy>Soraya Chamizo Jurado</cp:lastModifiedBy>
  <cp:revision>2</cp:revision>
  <dcterms:created xsi:type="dcterms:W3CDTF">2019-03-18T08:24:00Z</dcterms:created>
  <dcterms:modified xsi:type="dcterms:W3CDTF">2019-03-18T08:24:00Z</dcterms:modified>
</cp:coreProperties>
</file>